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11B2" w:rsidR="008E299D" w:rsidP="00B42280" w:rsidRDefault="000B31F8" w14:paraId="779E91DC" w14:textId="50883677">
      <w:pPr>
        <w:pStyle w:val="Title"/>
        <w:contextualSpacing w:val="0"/>
        <w:rPr>
          <w:sz w:val="44"/>
          <w:szCs w:val="72"/>
        </w:rPr>
      </w:pPr>
      <w:r w:rsidRPr="006F11B2">
        <w:rPr>
          <w:sz w:val="44"/>
          <w:szCs w:val="72"/>
        </w:rPr>
        <w:t xml:space="preserve">SEND in </w:t>
      </w:r>
      <w:r w:rsidR="00635060">
        <w:rPr>
          <w:sz w:val="44"/>
          <w:szCs w:val="72"/>
        </w:rPr>
        <w:t xml:space="preserve">Suffolk </w:t>
      </w:r>
      <w:r w:rsidRPr="006F11B2" w:rsidR="006F11B2">
        <w:rPr>
          <w:noProof/>
          <w:sz w:val="44"/>
          <w:szCs w:val="72"/>
        </w:rPr>
        <w:t xml:space="preserve"> </w:t>
      </w:r>
    </w:p>
    <w:p w:rsidRPr="006F11B2" w:rsidR="00F466C1" w:rsidP="00E73EEB" w:rsidRDefault="00E73EEB" w14:paraId="13EADD2E" w14:textId="52E7A14B">
      <w:pPr>
        <w:pStyle w:val="Title"/>
        <w:jc w:val="left"/>
        <w:rPr>
          <w:sz w:val="44"/>
          <w:szCs w:val="72"/>
        </w:rPr>
      </w:pPr>
      <w:r w:rsidRPr="006F11B2">
        <w:rPr>
          <w:sz w:val="44"/>
          <w:szCs w:val="72"/>
        </w:rPr>
        <w:t xml:space="preserve">Scheme of delegation in respect of decisions relating to Education, Health &amp; Care (EHC) Needs Assessments and </w:t>
      </w:r>
      <w:r w:rsidR="00EF74B0">
        <w:rPr>
          <w:sz w:val="44"/>
          <w:szCs w:val="72"/>
        </w:rPr>
        <w:t>EHC p</w:t>
      </w:r>
      <w:r w:rsidRPr="006F11B2">
        <w:rPr>
          <w:sz w:val="44"/>
          <w:szCs w:val="72"/>
        </w:rPr>
        <w:t>lans</w:t>
      </w:r>
    </w:p>
    <w:p w:rsidR="00CF4DCD" w:rsidP="000B31F8" w:rsidRDefault="00CF4DCD" w14:paraId="660E11A5" w14:textId="5F936A41">
      <w:pPr>
        <w:rPr>
          <w:bCs/>
        </w:rPr>
      </w:pPr>
      <w:bookmarkStart w:name="_Hlk82505752" w:id="0"/>
      <w:bookmarkEnd w:id="0"/>
    </w:p>
    <w:p w:rsidRPr="007D5D31" w:rsidR="00A82B9C" w:rsidP="00A82B9C" w:rsidRDefault="00A82B9C" w14:paraId="5ED533D1" w14:textId="6906A8AD">
      <w:pPr>
        <w:rPr>
          <w:b/>
          <w:bCs/>
          <w:sz w:val="24"/>
          <w:szCs w:val="24"/>
        </w:rPr>
      </w:pPr>
      <w:r w:rsidRPr="007D5D31">
        <w:rPr>
          <w:b/>
          <w:bCs/>
          <w:sz w:val="24"/>
          <w:szCs w:val="24"/>
        </w:rPr>
        <w:t>Version details</w:t>
      </w:r>
    </w:p>
    <w:p w:rsidR="001155BD" w:rsidP="001155BD" w:rsidRDefault="001155BD" w14:paraId="1F96F81E" w14:textId="7A441B5D">
      <w:pPr>
        <w:pStyle w:val="ListParagraph"/>
        <w:numPr>
          <w:ilvl w:val="0"/>
          <w:numId w:val="1"/>
        </w:numPr>
      </w:pPr>
      <w:r>
        <w:t xml:space="preserve">Version: </w:t>
      </w:r>
      <w:r w:rsidR="00871525">
        <w:t>1.0</w:t>
      </w:r>
    </w:p>
    <w:p w:rsidR="001155BD" w:rsidP="001155BD" w:rsidRDefault="001155BD" w14:paraId="7DB949C5" w14:textId="6AB16067">
      <w:pPr>
        <w:pStyle w:val="ListParagraph"/>
        <w:numPr>
          <w:ilvl w:val="0"/>
          <w:numId w:val="1"/>
        </w:numPr>
      </w:pPr>
      <w:r>
        <w:t xml:space="preserve">Last updated: </w:t>
      </w:r>
    </w:p>
    <w:p w:rsidR="009D7AA3" w:rsidP="001155BD" w:rsidRDefault="009D7AA3" w14:paraId="53E1C5DB" w14:textId="229A067F">
      <w:pPr>
        <w:pStyle w:val="ListParagraph"/>
        <w:numPr>
          <w:ilvl w:val="0"/>
          <w:numId w:val="1"/>
        </w:numPr>
      </w:pPr>
      <w:r>
        <w:t xml:space="preserve">Updated by: </w:t>
      </w:r>
      <w:r w:rsidR="00B6286A">
        <w:t>Wendy Allen, Francesca Alexander &amp; Ros Somerville</w:t>
      </w:r>
    </w:p>
    <w:p w:rsidR="001155BD" w:rsidP="001155BD" w:rsidRDefault="001155BD" w14:paraId="48501795" w14:textId="28B11A9E">
      <w:pPr>
        <w:pStyle w:val="ListParagraph"/>
        <w:numPr>
          <w:ilvl w:val="0"/>
          <w:numId w:val="1"/>
        </w:numPr>
      </w:pPr>
      <w:r>
        <w:t xml:space="preserve">Date for review: To be reviewed annually, with next review in </w:t>
      </w:r>
      <w:r w:rsidR="002D463F">
        <w:t>March 2023</w:t>
      </w:r>
    </w:p>
    <w:p w:rsidR="001155BD" w:rsidP="001155BD" w:rsidRDefault="001155BD" w14:paraId="43A58346" w14:textId="31CC2CA1">
      <w:pPr>
        <w:pStyle w:val="ListParagraph"/>
        <w:numPr>
          <w:ilvl w:val="0"/>
          <w:numId w:val="1"/>
        </w:numPr>
      </w:pPr>
      <w:r>
        <w:t xml:space="preserve">Responsibility to review: </w:t>
      </w:r>
    </w:p>
    <w:p w:rsidR="00A82B9C" w:rsidP="000B31F8" w:rsidRDefault="00A82B9C" w14:paraId="2AF046B4" w14:textId="3E66035D">
      <w:pPr>
        <w:rPr>
          <w:bCs/>
        </w:rPr>
      </w:pPr>
    </w:p>
    <w:p w:rsidR="00CF4DCD" w:rsidP="00401C96" w:rsidRDefault="00E73EEB" w14:paraId="3D162B06" w14:textId="3AE29ED2">
      <w:pPr>
        <w:pStyle w:val="Heading1"/>
      </w:pPr>
      <w:r>
        <w:t>Introduction and principles</w:t>
      </w:r>
    </w:p>
    <w:p w:rsidR="00ED1B4F" w:rsidP="00ED1B4F" w:rsidRDefault="00280C08" w14:paraId="47D9D7C5" w14:textId="2224B263">
      <w:pPr>
        <w:pStyle w:val="Heading2"/>
      </w:pPr>
      <w:r>
        <w:t>The purpose of this document</w:t>
      </w:r>
    </w:p>
    <w:p w:rsidR="00FA76C4" w:rsidP="00FA76C4" w:rsidRDefault="00FA76C4" w14:paraId="5170DD8C" w14:textId="69622DF5">
      <w:r w:rsidRPr="00C65503">
        <w:rPr>
          <w:szCs w:val="24"/>
        </w:rPr>
        <w:t xml:space="preserve">The </w:t>
      </w:r>
      <w:r>
        <w:rPr>
          <w:szCs w:val="24"/>
        </w:rPr>
        <w:t>s</w:t>
      </w:r>
      <w:r w:rsidRPr="00C65503">
        <w:rPr>
          <w:szCs w:val="24"/>
        </w:rPr>
        <w:t xml:space="preserve">cheme of </w:t>
      </w:r>
      <w:r>
        <w:rPr>
          <w:szCs w:val="24"/>
        </w:rPr>
        <w:t>d</w:t>
      </w:r>
      <w:r w:rsidRPr="00C65503">
        <w:rPr>
          <w:szCs w:val="24"/>
        </w:rPr>
        <w:t xml:space="preserve">elegation is a decision-making framework </w:t>
      </w:r>
      <w:r w:rsidR="009D7AA3">
        <w:rPr>
          <w:szCs w:val="24"/>
        </w:rPr>
        <w:t>which sets out the</w:t>
      </w:r>
      <w:r w:rsidR="009A40FE">
        <w:rPr>
          <w:szCs w:val="24"/>
        </w:rPr>
        <w:t xml:space="preserve"> </w:t>
      </w:r>
      <w:r w:rsidRPr="00C65503">
        <w:rPr>
          <w:szCs w:val="24"/>
        </w:rPr>
        <w:t>delegated powers related to SEND and/or allocation of additional resources</w:t>
      </w:r>
      <w:r>
        <w:rPr>
          <w:szCs w:val="24"/>
        </w:rPr>
        <w:t xml:space="preserve">. </w:t>
      </w:r>
      <w:r w:rsidRPr="00C65503">
        <w:rPr>
          <w:szCs w:val="24"/>
        </w:rPr>
        <w:t>It empowers officers of the Council to take decisions on behalf of the Director of Children Services to ensure that the Council meets its obligations under the Children and Families Act 2014</w:t>
      </w:r>
      <w:r w:rsidR="009D7AA3">
        <w:rPr>
          <w:szCs w:val="24"/>
        </w:rPr>
        <w:t>, SEND Code of Practice 2015</w:t>
      </w:r>
      <w:r w:rsidRPr="00C65503">
        <w:rPr>
          <w:szCs w:val="24"/>
        </w:rPr>
        <w:t xml:space="preserve"> and relevant financial regulations</w:t>
      </w:r>
      <w:r>
        <w:rPr>
          <w:szCs w:val="24"/>
        </w:rPr>
        <w:t>.</w:t>
      </w:r>
    </w:p>
    <w:p w:rsidR="00FA76C4" w:rsidP="00FA76C4" w:rsidRDefault="00FA76C4" w14:paraId="71F024E4" w14:textId="63BF6628">
      <w:pPr>
        <w:spacing w:after="0" w:line="240" w:lineRule="auto"/>
        <w:rPr>
          <w:szCs w:val="24"/>
        </w:rPr>
      </w:pPr>
      <w:r w:rsidRPr="00C65503">
        <w:rPr>
          <w:szCs w:val="24"/>
        </w:rPr>
        <w:t>All decision</w:t>
      </w:r>
      <w:r>
        <w:rPr>
          <w:szCs w:val="24"/>
        </w:rPr>
        <w:t>s</w:t>
      </w:r>
      <w:r w:rsidRPr="00C65503">
        <w:rPr>
          <w:szCs w:val="24"/>
        </w:rPr>
        <w:t xml:space="preserve"> should be well informed</w:t>
      </w:r>
      <w:r>
        <w:rPr>
          <w:szCs w:val="24"/>
        </w:rPr>
        <w:t>, transparent</w:t>
      </w:r>
      <w:r w:rsidRPr="00C65503">
        <w:rPr>
          <w:szCs w:val="24"/>
        </w:rPr>
        <w:t xml:space="preserve"> and must have regard to the views and wishes of parents/carers, young </w:t>
      </w:r>
      <w:proofErr w:type="gramStart"/>
      <w:r w:rsidRPr="00C65503">
        <w:rPr>
          <w:szCs w:val="24"/>
        </w:rPr>
        <w:t>people</w:t>
      </w:r>
      <w:proofErr w:type="gramEnd"/>
      <w:r w:rsidRPr="00C65503">
        <w:rPr>
          <w:szCs w:val="24"/>
        </w:rPr>
        <w:t xml:space="preserve"> and professional advice</w:t>
      </w:r>
      <w:r>
        <w:rPr>
          <w:szCs w:val="24"/>
        </w:rPr>
        <w:t xml:space="preserve">. </w:t>
      </w:r>
      <w:r w:rsidRPr="00C65503">
        <w:rPr>
          <w:szCs w:val="24"/>
        </w:rPr>
        <w:t>Reasons for decisions must be clearly recorded and communicated, they must ensure fair and transparent distribution of resources</w:t>
      </w:r>
      <w:r>
        <w:rPr>
          <w:szCs w:val="24"/>
        </w:rPr>
        <w:t>.  Decisions are subject to routine audits and council corporate procedure.</w:t>
      </w:r>
    </w:p>
    <w:p w:rsidRPr="000A33C0" w:rsidR="00F45008" w:rsidP="00401C96" w:rsidRDefault="00F45008" w14:paraId="6C602DE4" w14:textId="183BD63F"/>
    <w:p w:rsidR="0006512E" w:rsidP="00401C96" w:rsidRDefault="0006512E" w14:paraId="683E9ABC" w14:textId="0F35216B"/>
    <w:p w:rsidR="00ED1B4F" w:rsidP="00ED1B4F" w:rsidRDefault="00280C08" w14:paraId="7EB79D06" w14:textId="2C2E4993">
      <w:pPr>
        <w:pStyle w:val="Heading2"/>
      </w:pPr>
      <w:r>
        <w:lastRenderedPageBreak/>
        <w:t>Principles</w:t>
      </w:r>
    </w:p>
    <w:p w:rsidR="009D7AA3" w:rsidP="009D7AA3" w:rsidRDefault="004676E8" w14:paraId="55E3EDD3" w14:textId="20EFA9C5">
      <w:r w:rsidRPr="009A40FE">
        <w:t xml:space="preserve">Our vision for SEND in </w:t>
      </w:r>
      <w:r w:rsidR="00F03422">
        <w:t>Suffolk</w:t>
      </w:r>
      <w:r w:rsidRPr="009A40FE">
        <w:t xml:space="preserve"> can be found in the SEND Strategy </w:t>
      </w:r>
    </w:p>
    <w:p w:rsidR="00ED1B4F" w:rsidP="000F3A80" w:rsidRDefault="000F3A80" w14:paraId="32E5B919" w14:textId="7207661B">
      <w:r>
        <w:t xml:space="preserve">Ensuring that decision-making, planning and support for children and young people with SEND in </w:t>
      </w:r>
      <w:r w:rsidR="00F03422">
        <w:t>Suffolk</w:t>
      </w:r>
      <w:r>
        <w:t xml:space="preserve"> is the individual and collective responsibility of all professionals, managers and leaders across education, health</w:t>
      </w:r>
      <w:r w:rsidR="00E33FCA">
        <w:t>,</w:t>
      </w:r>
      <w:r>
        <w:t xml:space="preserve"> and care services.</w:t>
      </w:r>
    </w:p>
    <w:p w:rsidR="006F4FD9" w:rsidP="006F4FD9" w:rsidRDefault="006F4FD9" w14:paraId="735EFCBB" w14:textId="3373BBCC">
      <w:pPr>
        <w:pStyle w:val="Heading2"/>
      </w:pPr>
      <w:r>
        <w:t>Key documents</w:t>
      </w:r>
    </w:p>
    <w:p w:rsidR="006F4FD9" w:rsidP="006F4FD9" w:rsidRDefault="006F4FD9" w14:paraId="1E1289F9" w14:textId="3DBEF468">
      <w:r>
        <w:t xml:space="preserve">All officers making decisions about EHC needs assessments and plans in </w:t>
      </w:r>
      <w:r w:rsidR="00DE6A28">
        <w:t>Suffolk</w:t>
      </w:r>
      <w:r>
        <w:t xml:space="preserve"> must have regard to the following national guidance and legislation – </w:t>
      </w:r>
    </w:p>
    <w:p w:rsidR="00A03296" w:rsidP="00F32D3A" w:rsidRDefault="00F32D3A" w14:paraId="51890457" w14:textId="77777777">
      <w:pPr>
        <w:pStyle w:val="ListParagraph"/>
        <w:numPr>
          <w:ilvl w:val="0"/>
          <w:numId w:val="7"/>
        </w:numPr>
      </w:pPr>
      <w:r>
        <w:t xml:space="preserve">Children and Families Act 2014 and its associated </w:t>
      </w:r>
      <w:proofErr w:type="gramStart"/>
      <w:r>
        <w:t>regulations</w:t>
      </w:r>
      <w:r w:rsidR="00A03296">
        <w:t>;</w:t>
      </w:r>
      <w:proofErr w:type="gramEnd"/>
    </w:p>
    <w:p w:rsidR="000D093F" w:rsidP="000D093F" w:rsidRDefault="000D093F" w14:paraId="25002954" w14:textId="77777777">
      <w:pPr>
        <w:pStyle w:val="ListParagraph"/>
        <w:numPr>
          <w:ilvl w:val="0"/>
          <w:numId w:val="7"/>
        </w:numPr>
      </w:pPr>
      <w:r>
        <w:t>SEND Code of Practice 2014 (subsequent changes and amendments January 2015</w:t>
      </w:r>
      <w:proofErr w:type="gramStart"/>
      <w:r>
        <w:t>);</w:t>
      </w:r>
      <w:proofErr w:type="gramEnd"/>
    </w:p>
    <w:p w:rsidR="00A03296" w:rsidP="00F32D3A" w:rsidRDefault="00F32D3A" w14:paraId="218EF4B5" w14:textId="2F52FE72">
      <w:pPr>
        <w:pStyle w:val="ListParagraph"/>
        <w:numPr>
          <w:ilvl w:val="0"/>
          <w:numId w:val="7"/>
        </w:numPr>
      </w:pPr>
      <w:r>
        <w:t xml:space="preserve">Children's Act </w:t>
      </w:r>
      <w:proofErr w:type="gramStart"/>
      <w:r>
        <w:t>1989</w:t>
      </w:r>
      <w:r w:rsidR="00A03296">
        <w:t>;</w:t>
      </w:r>
      <w:proofErr w:type="gramEnd"/>
    </w:p>
    <w:p w:rsidR="00A03296" w:rsidP="00F32D3A" w:rsidRDefault="00F32D3A" w14:paraId="7BD4B731" w14:textId="77777777">
      <w:pPr>
        <w:pStyle w:val="ListParagraph"/>
        <w:numPr>
          <w:ilvl w:val="0"/>
          <w:numId w:val="7"/>
        </w:numPr>
      </w:pPr>
      <w:r>
        <w:t xml:space="preserve">Chronically Sick and Disabled Persons Act </w:t>
      </w:r>
      <w:proofErr w:type="gramStart"/>
      <w:r>
        <w:t>1970</w:t>
      </w:r>
      <w:r w:rsidR="00A03296">
        <w:t>;</w:t>
      </w:r>
      <w:proofErr w:type="gramEnd"/>
    </w:p>
    <w:p w:rsidRPr="00A03296" w:rsidR="00A03296" w:rsidP="00F32D3A" w:rsidRDefault="00F32D3A" w14:paraId="0D41FBEB" w14:textId="376A1833">
      <w:pPr>
        <w:pStyle w:val="ListParagraph"/>
        <w:numPr>
          <w:ilvl w:val="0"/>
          <w:numId w:val="7"/>
        </w:numPr>
      </w:pPr>
      <w:r w:rsidRPr="00A03296">
        <w:rPr>
          <w:i/>
          <w:iCs/>
        </w:rPr>
        <w:t>Working Together to Safeguard Children</w:t>
      </w:r>
      <w:r>
        <w:t xml:space="preserve"> and </w:t>
      </w:r>
      <w:r w:rsidRPr="00A03296">
        <w:rPr>
          <w:i/>
          <w:iCs/>
        </w:rPr>
        <w:t xml:space="preserve">Keeping Children Safe in </w:t>
      </w:r>
      <w:proofErr w:type="gramStart"/>
      <w:r w:rsidRPr="00A03296">
        <w:rPr>
          <w:i/>
          <w:iCs/>
        </w:rPr>
        <w:t>Education</w:t>
      </w:r>
      <w:r w:rsidR="00A03296">
        <w:t>;</w:t>
      </w:r>
      <w:proofErr w:type="gramEnd"/>
    </w:p>
    <w:p w:rsidR="00A03296" w:rsidP="00F32D3A" w:rsidRDefault="00F32D3A" w14:paraId="6283734F" w14:textId="77777777">
      <w:pPr>
        <w:pStyle w:val="ListParagraph"/>
        <w:numPr>
          <w:ilvl w:val="0"/>
          <w:numId w:val="7"/>
        </w:numPr>
      </w:pPr>
      <w:r>
        <w:t xml:space="preserve">School Admissions Code of </w:t>
      </w:r>
      <w:proofErr w:type="gramStart"/>
      <w:r>
        <w:t>Practice</w:t>
      </w:r>
      <w:r w:rsidR="00A03296">
        <w:t>;</w:t>
      </w:r>
      <w:proofErr w:type="gramEnd"/>
    </w:p>
    <w:p w:rsidR="00A03296" w:rsidP="00A03296" w:rsidRDefault="00F32D3A" w14:paraId="5FA7CF3C" w14:textId="77777777">
      <w:pPr>
        <w:pStyle w:val="ListParagraph"/>
        <w:numPr>
          <w:ilvl w:val="0"/>
          <w:numId w:val="7"/>
        </w:numPr>
      </w:pPr>
      <w:r>
        <w:t xml:space="preserve">Equality Act </w:t>
      </w:r>
      <w:proofErr w:type="gramStart"/>
      <w:r>
        <w:t>2010</w:t>
      </w:r>
      <w:r w:rsidR="00A03296">
        <w:t>;</w:t>
      </w:r>
      <w:proofErr w:type="gramEnd"/>
    </w:p>
    <w:p w:rsidR="00A03296" w:rsidP="00F32D3A" w:rsidRDefault="00F32D3A" w14:paraId="34397913" w14:textId="77777777">
      <w:pPr>
        <w:pStyle w:val="ListParagraph"/>
        <w:numPr>
          <w:ilvl w:val="0"/>
          <w:numId w:val="7"/>
        </w:numPr>
      </w:pPr>
      <w:r w:rsidRPr="00A03296">
        <w:rPr>
          <w:i/>
          <w:iCs/>
        </w:rPr>
        <w:t xml:space="preserve">Supporting pupils at school with medical </w:t>
      </w:r>
      <w:proofErr w:type="gramStart"/>
      <w:r w:rsidRPr="00A03296">
        <w:rPr>
          <w:i/>
          <w:iCs/>
        </w:rPr>
        <w:t>conditions</w:t>
      </w:r>
      <w:r w:rsidR="00A03296">
        <w:t>;</w:t>
      </w:r>
      <w:proofErr w:type="gramEnd"/>
    </w:p>
    <w:p w:rsidR="00A03296" w:rsidP="00F32D3A" w:rsidRDefault="00F32D3A" w14:paraId="72D8E8D4" w14:textId="77777777">
      <w:pPr>
        <w:pStyle w:val="ListParagraph"/>
        <w:numPr>
          <w:ilvl w:val="0"/>
          <w:numId w:val="7"/>
        </w:numPr>
      </w:pPr>
      <w:r>
        <w:t xml:space="preserve">Mental Capacity Act </w:t>
      </w:r>
      <w:proofErr w:type="gramStart"/>
      <w:r>
        <w:t>2005</w:t>
      </w:r>
      <w:r w:rsidR="00A03296">
        <w:t>;</w:t>
      </w:r>
      <w:proofErr w:type="gramEnd"/>
    </w:p>
    <w:p w:rsidR="00A03296" w:rsidP="00F32D3A" w:rsidRDefault="00F32D3A" w14:paraId="597C8626" w14:textId="77777777">
      <w:pPr>
        <w:pStyle w:val="ListParagraph"/>
        <w:numPr>
          <w:ilvl w:val="0"/>
          <w:numId w:val="7"/>
        </w:numPr>
      </w:pPr>
      <w:r>
        <w:t>Care Act 2014</w:t>
      </w:r>
      <w:r w:rsidR="00A03296">
        <w:t>; and</w:t>
      </w:r>
    </w:p>
    <w:p w:rsidR="006F4FD9" w:rsidP="00F32D3A" w:rsidRDefault="00F32D3A" w14:paraId="395FD2B0" w14:textId="5C7A0917">
      <w:pPr>
        <w:pStyle w:val="ListParagraph"/>
        <w:numPr>
          <w:ilvl w:val="0"/>
          <w:numId w:val="7"/>
        </w:numPr>
      </w:pPr>
      <w:r>
        <w:t>The School and Early Years Finance (England) Regulations</w:t>
      </w:r>
      <w:r w:rsidR="00A03296">
        <w:t>.</w:t>
      </w:r>
    </w:p>
    <w:p w:rsidR="006F4FD9" w:rsidP="006F4FD9" w:rsidRDefault="006F4FD9" w14:paraId="4400B123" w14:textId="2C7232CC">
      <w:r>
        <w:t xml:space="preserve">All officers making decisions about EHC needs assessments and plans in </w:t>
      </w:r>
      <w:r w:rsidR="002C0E9B">
        <w:t>Suffolk</w:t>
      </w:r>
      <w:r>
        <w:t xml:space="preserve"> must also have regard to the following local guidance, which </w:t>
      </w:r>
      <w:r w:rsidR="00D7129B">
        <w:t xml:space="preserve">sets out the practices and processes that must be consistent across the SEND system in </w:t>
      </w:r>
      <w:r w:rsidR="009C48FE">
        <w:t>Suffolk</w:t>
      </w:r>
      <w:r w:rsidR="00D7129B">
        <w:t xml:space="preserve"> – </w:t>
      </w:r>
    </w:p>
    <w:p w:rsidR="004676E8" w:rsidP="00D7129B" w:rsidRDefault="004676E8" w14:paraId="06FA0174" w14:textId="5CD3FC39">
      <w:pPr>
        <w:pStyle w:val="ListParagraph"/>
        <w:numPr>
          <w:ilvl w:val="0"/>
          <w:numId w:val="4"/>
        </w:numPr>
      </w:pPr>
      <w:r>
        <w:t>Terms of reference for SEND panels</w:t>
      </w:r>
      <w:r w:rsidR="00FA377F">
        <w:t xml:space="preserve"> </w:t>
      </w:r>
    </w:p>
    <w:p w:rsidR="004C1B35" w:rsidP="00D7129B" w:rsidRDefault="002E20B2" w14:paraId="1794DA19" w14:textId="7A1CD155">
      <w:pPr>
        <w:pStyle w:val="ListParagraph"/>
        <w:numPr>
          <w:ilvl w:val="0"/>
          <w:numId w:val="4"/>
        </w:numPr>
      </w:pPr>
      <w:r>
        <w:t>Suffolk</w:t>
      </w:r>
      <w:r w:rsidR="004C1B35">
        <w:t xml:space="preserve"> SEND strategy</w:t>
      </w:r>
      <w:r w:rsidR="00CB5101">
        <w:fldChar w:fldCharType="begin"/>
      </w:r>
      <w:r w:rsidR="00CB5101">
        <w:instrText xml:space="preserve"> NOTEREF _Ref94704850 \f \h </w:instrText>
      </w:r>
      <w:r w:rsidR="00CB5101">
        <w:fldChar w:fldCharType="separate"/>
      </w:r>
      <w:r w:rsidR="008D47B8">
        <w:rPr>
          <w:b/>
          <w:bCs/>
          <w:lang w:val="en-US"/>
        </w:rPr>
        <w:t>.</w:t>
      </w:r>
      <w:r w:rsidR="00CB5101">
        <w:fldChar w:fldCharType="end"/>
      </w:r>
      <w:r w:rsidR="004C1B35">
        <w:t>;</w:t>
      </w:r>
    </w:p>
    <w:p w:rsidR="00845009" w:rsidP="00D7129B" w:rsidRDefault="002E20B2" w14:paraId="621EC7BD" w14:textId="291F1174">
      <w:pPr>
        <w:pStyle w:val="ListParagraph"/>
        <w:numPr>
          <w:ilvl w:val="0"/>
          <w:numId w:val="4"/>
        </w:numPr>
      </w:pPr>
      <w:r>
        <w:t>Suffolk</w:t>
      </w:r>
      <w:r w:rsidR="00845009">
        <w:t xml:space="preserve"> banding framework</w:t>
      </w:r>
      <w:r w:rsidR="00CB5101">
        <w:fldChar w:fldCharType="begin"/>
      </w:r>
      <w:r w:rsidR="00CB5101">
        <w:instrText xml:space="preserve"> NOTEREF _Ref94704850 \f \h </w:instrText>
      </w:r>
      <w:r w:rsidR="00CB5101">
        <w:fldChar w:fldCharType="separate"/>
      </w:r>
      <w:r w:rsidR="008D47B8">
        <w:rPr>
          <w:b/>
          <w:bCs/>
          <w:lang w:val="en-US"/>
        </w:rPr>
        <w:t>.</w:t>
      </w:r>
      <w:r w:rsidR="00CB5101">
        <w:fldChar w:fldCharType="end"/>
      </w:r>
      <w:r w:rsidR="00845009">
        <w:t>;</w:t>
      </w:r>
    </w:p>
    <w:p w:rsidR="003F1D5F" w:rsidP="003F1D5F" w:rsidRDefault="002E20B2" w14:paraId="678E3AF8" w14:textId="27ED4CF5">
      <w:pPr>
        <w:pStyle w:val="ListParagraph"/>
        <w:numPr>
          <w:ilvl w:val="0"/>
          <w:numId w:val="4"/>
        </w:numPr>
      </w:pPr>
      <w:r>
        <w:t>Suffolk</w:t>
      </w:r>
      <w:r w:rsidR="00845009">
        <w:t xml:space="preserve"> EHCP quality-assurance framework</w:t>
      </w:r>
      <w:r w:rsidR="00CB5101">
        <w:fldChar w:fldCharType="begin"/>
      </w:r>
      <w:r w:rsidR="00CB5101">
        <w:instrText xml:space="preserve"> NOTEREF _Ref94704850 \f \h </w:instrText>
      </w:r>
      <w:r w:rsidR="00CB5101">
        <w:fldChar w:fldCharType="separate"/>
      </w:r>
      <w:r w:rsidR="008D47B8">
        <w:rPr>
          <w:b/>
          <w:bCs/>
          <w:lang w:val="en-US"/>
        </w:rPr>
        <w:t>.</w:t>
      </w:r>
      <w:r w:rsidR="00CB5101">
        <w:fldChar w:fldCharType="end"/>
      </w:r>
      <w:r w:rsidR="004C1B35">
        <w:t>; and</w:t>
      </w:r>
    </w:p>
    <w:p w:rsidR="004C1B35" w:rsidP="003F1D5F" w:rsidRDefault="00B20F42" w14:paraId="5EE10AC9" w14:textId="7C3BCB7C">
      <w:pPr>
        <w:pStyle w:val="ListParagraph"/>
        <w:numPr>
          <w:ilvl w:val="0"/>
          <w:numId w:val="4"/>
        </w:numPr>
      </w:pPr>
      <w:r>
        <w:lastRenderedPageBreak/>
        <w:t>Suffolk EHCP</w:t>
      </w:r>
      <w:r w:rsidR="004C1B35">
        <w:t xml:space="preserve"> annual review guidance</w:t>
      </w:r>
    </w:p>
    <w:p w:rsidR="0057042D" w:rsidRDefault="0057042D" w14:paraId="41A228A0" w14:textId="06E2E933">
      <w:pPr>
        <w:jc w:val="left"/>
      </w:pPr>
      <w:r>
        <w:br w:type="page"/>
      </w:r>
    </w:p>
    <w:p w:rsidR="00F45008" w:rsidP="00F45008" w:rsidRDefault="00280C08" w14:paraId="3371795E" w14:textId="7EBF65D6">
      <w:pPr>
        <w:pStyle w:val="Heading1"/>
      </w:pPr>
      <w:r>
        <w:lastRenderedPageBreak/>
        <w:t xml:space="preserve">A summary of where authority </w:t>
      </w:r>
      <w:r w:rsidR="00AA57FB">
        <w:t xml:space="preserve">for making decisions about aspects of the EHC system </w:t>
      </w:r>
      <w:r>
        <w:t xml:space="preserve">sits within </w:t>
      </w:r>
      <w:r w:rsidR="002E20B2">
        <w:t>Suffolk</w:t>
      </w:r>
    </w:p>
    <w:p w:rsidR="00F45008" w:rsidP="00F45008" w:rsidRDefault="00AA57FB" w14:paraId="2349DF4C" w14:textId="5F8AEF09">
      <w:pPr>
        <w:pStyle w:val="Heading2"/>
      </w:pPr>
      <w:r>
        <w:t>Summary</w:t>
      </w:r>
    </w:p>
    <w:p w:rsidR="009748A7" w:rsidP="00D11C53" w:rsidRDefault="001155BD" w14:paraId="2A8E1A46" w14:textId="465D4788">
      <w:r>
        <w:t xml:space="preserve">This scheme of delegation was developed through </w:t>
      </w:r>
      <w:r w:rsidR="004676E8">
        <w:t>consultation with a working group of</w:t>
      </w:r>
      <w:r w:rsidR="00B1279D">
        <w:t xml:space="preserve"> senior leaders responsible for SEND in the local authority</w:t>
      </w:r>
      <w:r w:rsidR="004676E8">
        <w:t xml:space="preserve"> and engagement with a wider core group of representatives from Education, Social Care and Health</w:t>
      </w:r>
      <w:r w:rsidR="00B1279D">
        <w:t xml:space="preserve"> </w:t>
      </w:r>
      <w:r w:rsidR="00D132DC">
        <w:t>in</w:t>
      </w:r>
      <w:r w:rsidR="00B1279D">
        <w:t xml:space="preserve"> 2021. In planning where decision-making authority should sit within </w:t>
      </w:r>
      <w:r w:rsidR="00D132DC">
        <w:t>Suffolk</w:t>
      </w:r>
      <w:r w:rsidR="009748A7">
        <w:t>. This is summarised in the graphic below.</w:t>
      </w:r>
    </w:p>
    <w:p w:rsidR="006F11B2" w:rsidP="00401C96" w:rsidRDefault="009B7B03" w14:paraId="3DE72942" w14:textId="3B75D367">
      <w:r w:rsidRPr="009B7B03">
        <w:rPr>
          <w:noProof/>
        </w:rPr>
        <w:drawing>
          <wp:inline distT="0" distB="0" distL="0" distR="0" wp14:anchorId="323BDB34" wp14:editId="2A40108F">
            <wp:extent cx="5572125" cy="4108480"/>
            <wp:effectExtent l="0" t="0" r="0" b="635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5580073" cy="4114340"/>
                    </a:xfrm>
                    <a:prstGeom prst="rect">
                      <a:avLst/>
                    </a:prstGeom>
                  </pic:spPr>
                </pic:pic>
              </a:graphicData>
            </a:graphic>
          </wp:inline>
        </w:drawing>
      </w:r>
    </w:p>
    <w:p w:rsidR="00F44DBB" w:rsidP="00401C96" w:rsidRDefault="00F44DBB" w14:paraId="23E82165" w14:textId="77777777"/>
    <w:p w:rsidR="001C07F1" w:rsidP="00401C96" w:rsidRDefault="00D11C53" w14:paraId="2B25BC31" w14:textId="483B3EE1">
      <w:r>
        <w:lastRenderedPageBreak/>
        <w:t xml:space="preserve">The table below presents an “at-a-glance” summary of where responsibilities </w:t>
      </w:r>
      <w:r w:rsidR="000A4409">
        <w:t xml:space="preserve">for each of these stages sit within the </w:t>
      </w:r>
      <w:r w:rsidR="00DE6A28">
        <w:t>Suffolk</w:t>
      </w:r>
      <w:r w:rsidR="000A4409">
        <w:t xml:space="preserve"> system.</w:t>
      </w:r>
    </w:p>
    <w:tbl>
      <w:tblPr>
        <w:tblStyle w:val="PlainTable1"/>
        <w:tblW w:w="0" w:type="auto"/>
        <w:tblLook w:val="04A0" w:firstRow="1" w:lastRow="0" w:firstColumn="1" w:lastColumn="0" w:noHBand="0" w:noVBand="1"/>
      </w:tblPr>
      <w:tblGrid>
        <w:gridCol w:w="3279"/>
        <w:gridCol w:w="1628"/>
        <w:gridCol w:w="1533"/>
        <w:gridCol w:w="1470"/>
        <w:gridCol w:w="1520"/>
        <w:gridCol w:w="1441"/>
        <w:gridCol w:w="1467"/>
        <w:gridCol w:w="1426"/>
        <w:gridCol w:w="27"/>
        <w:gridCol w:w="1597"/>
      </w:tblGrid>
      <w:tr w:rsidR="00640986" w:rsidTr="00A423F6" w14:paraId="502339C1" w14:textId="77777777">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279" w:type="dxa"/>
            <w:shd w:val="clear" w:color="auto" w:fill="002060"/>
            <w:vAlign w:val="center"/>
          </w:tcPr>
          <w:p w:rsidR="00640986" w:rsidP="00102A1D" w:rsidRDefault="00640986" w14:paraId="12E63BF5" w14:textId="6C2AE948">
            <w:pPr>
              <w:jc w:val="center"/>
              <w:rPr>
                <w:noProof/>
              </w:rPr>
            </w:pPr>
            <w:r w:rsidRPr="00102A1D">
              <w:rPr>
                <w:noProof/>
                <w:sz w:val="24"/>
                <w:szCs w:val="24"/>
              </w:rPr>
              <w:t>Stage of EHC process</w:t>
            </w:r>
          </w:p>
        </w:tc>
        <w:tc>
          <w:tcPr>
            <w:tcW w:w="1628" w:type="dxa"/>
            <w:shd w:val="clear" w:color="auto" w:fill="0070C0"/>
          </w:tcPr>
          <w:p w:rsidRPr="00102A1D" w:rsidR="00640986" w:rsidP="00102A1D" w:rsidRDefault="00640986" w14:paraId="2596D416" w14:textId="461AC8C6">
            <w:pPr>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4"/>
                <w:szCs w:val="24"/>
              </w:rPr>
            </w:pPr>
            <w:r>
              <w:rPr>
                <w:noProof/>
                <w:color w:val="FFFFFF" w:themeColor="background1"/>
                <w:sz w:val="24"/>
                <w:szCs w:val="24"/>
              </w:rPr>
              <w:t xml:space="preserve">Assistant Coordinators </w:t>
            </w:r>
          </w:p>
        </w:tc>
        <w:tc>
          <w:tcPr>
            <w:tcW w:w="1533" w:type="dxa"/>
            <w:shd w:val="clear" w:color="auto" w:fill="0070C0"/>
          </w:tcPr>
          <w:p w:rsidRPr="00102A1D" w:rsidR="00640986" w:rsidP="00102A1D" w:rsidRDefault="00640986" w14:paraId="26531EAB" w14:textId="7987DDA5">
            <w:pPr>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4"/>
                <w:szCs w:val="24"/>
              </w:rPr>
            </w:pPr>
            <w:r w:rsidRPr="00102A1D">
              <w:rPr>
                <w:noProof/>
                <w:color w:val="FFFFFF" w:themeColor="background1"/>
                <w:sz w:val="24"/>
                <w:szCs w:val="24"/>
              </w:rPr>
              <w:t>Co-ordinator</w:t>
            </w:r>
          </w:p>
        </w:tc>
        <w:tc>
          <w:tcPr>
            <w:tcW w:w="1470" w:type="dxa"/>
            <w:shd w:val="clear" w:color="auto" w:fill="0070C0"/>
          </w:tcPr>
          <w:p w:rsidRPr="00102A1D" w:rsidR="00640986" w:rsidP="00102A1D" w:rsidRDefault="00640986" w14:paraId="5DCC5552" w14:textId="3F853A1D">
            <w:pPr>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4"/>
                <w:szCs w:val="24"/>
              </w:rPr>
            </w:pPr>
            <w:r>
              <w:rPr>
                <w:noProof/>
                <w:color w:val="FFFFFF" w:themeColor="background1"/>
                <w:sz w:val="24"/>
                <w:szCs w:val="24"/>
              </w:rPr>
              <w:t>Family Service Leads</w:t>
            </w:r>
          </w:p>
        </w:tc>
        <w:tc>
          <w:tcPr>
            <w:tcW w:w="1520" w:type="dxa"/>
            <w:shd w:val="clear" w:color="auto" w:fill="0070C0"/>
          </w:tcPr>
          <w:p w:rsidRPr="00102A1D" w:rsidR="00640986" w:rsidP="00102A1D" w:rsidRDefault="009631E2" w14:paraId="02F20468" w14:textId="1AE8422C">
            <w:pPr>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4"/>
                <w:szCs w:val="24"/>
              </w:rPr>
            </w:pPr>
            <w:r>
              <w:rPr>
                <w:noProof/>
                <w:color w:val="FFFFFF" w:themeColor="background1"/>
                <w:sz w:val="24"/>
                <w:szCs w:val="24"/>
              </w:rPr>
              <w:t>SEND Service</w:t>
            </w:r>
            <w:r w:rsidR="00640986">
              <w:rPr>
                <w:noProof/>
                <w:color w:val="FFFFFF" w:themeColor="background1"/>
                <w:sz w:val="24"/>
                <w:szCs w:val="24"/>
              </w:rPr>
              <w:t xml:space="preserve"> Manager</w:t>
            </w:r>
            <w:r>
              <w:rPr>
                <w:noProof/>
                <w:color w:val="FFFFFF" w:themeColor="background1"/>
                <w:sz w:val="24"/>
                <w:szCs w:val="24"/>
              </w:rPr>
              <w:t>s</w:t>
            </w:r>
          </w:p>
        </w:tc>
        <w:tc>
          <w:tcPr>
            <w:tcW w:w="1441" w:type="dxa"/>
            <w:shd w:val="clear" w:color="auto" w:fill="0070C0"/>
          </w:tcPr>
          <w:p w:rsidR="00640986" w:rsidP="00102A1D" w:rsidRDefault="00640986" w14:paraId="089D0B35" w14:textId="6D4AFA32">
            <w:pPr>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4"/>
                <w:szCs w:val="24"/>
              </w:rPr>
            </w:pPr>
            <w:r w:rsidRPr="00640986">
              <w:rPr>
                <w:noProof/>
                <w:color w:val="FFFFFF" w:themeColor="background1"/>
                <w:sz w:val="24"/>
                <w:szCs w:val="24"/>
              </w:rPr>
              <w:t>Head of Service</w:t>
            </w:r>
          </w:p>
        </w:tc>
        <w:tc>
          <w:tcPr>
            <w:tcW w:w="1467" w:type="dxa"/>
            <w:shd w:val="clear" w:color="auto" w:fill="ED7D31" w:themeFill="accent2"/>
            <w:vAlign w:val="center"/>
          </w:tcPr>
          <w:p w:rsidRPr="00102A1D" w:rsidR="00640986" w:rsidP="00102A1D" w:rsidRDefault="00640986" w14:paraId="199FC68D" w14:textId="4FCD0DF3">
            <w:pPr>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4"/>
                <w:szCs w:val="24"/>
              </w:rPr>
            </w:pPr>
            <w:r>
              <w:rPr>
                <w:noProof/>
                <w:color w:val="FFFFFF" w:themeColor="background1"/>
                <w:sz w:val="24"/>
                <w:szCs w:val="24"/>
              </w:rPr>
              <w:t>County EHCNA</w:t>
            </w:r>
            <w:r w:rsidRPr="00102A1D">
              <w:rPr>
                <w:noProof/>
                <w:color w:val="FFFFFF" w:themeColor="background1"/>
                <w:sz w:val="24"/>
                <w:szCs w:val="24"/>
              </w:rPr>
              <w:t xml:space="preserve"> Panel</w:t>
            </w:r>
          </w:p>
        </w:tc>
        <w:tc>
          <w:tcPr>
            <w:tcW w:w="1426" w:type="dxa"/>
            <w:shd w:val="clear" w:color="auto" w:fill="ED7D31" w:themeFill="accent2"/>
            <w:vAlign w:val="center"/>
          </w:tcPr>
          <w:p w:rsidRPr="00102A1D" w:rsidR="00640986" w:rsidP="00102A1D" w:rsidRDefault="00640986" w14:paraId="2190CE9E" w14:textId="500440D2">
            <w:pPr>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4"/>
                <w:szCs w:val="24"/>
              </w:rPr>
            </w:pPr>
            <w:r>
              <w:rPr>
                <w:noProof/>
                <w:color w:val="FFFFFF" w:themeColor="background1"/>
                <w:sz w:val="24"/>
                <w:szCs w:val="24"/>
              </w:rPr>
              <w:t>Area EHCP</w:t>
            </w:r>
            <w:r w:rsidRPr="00102A1D">
              <w:rPr>
                <w:noProof/>
                <w:color w:val="FFFFFF" w:themeColor="background1"/>
                <w:sz w:val="24"/>
                <w:szCs w:val="24"/>
              </w:rPr>
              <w:t xml:space="preserve"> Panel</w:t>
            </w:r>
          </w:p>
        </w:tc>
        <w:tc>
          <w:tcPr>
            <w:tcW w:w="1624" w:type="dxa"/>
            <w:gridSpan w:val="2"/>
            <w:shd w:val="clear" w:color="auto" w:fill="ED7D31" w:themeFill="accent2"/>
            <w:vAlign w:val="center"/>
          </w:tcPr>
          <w:p w:rsidRPr="00102A1D" w:rsidR="00640986" w:rsidP="00102A1D" w:rsidRDefault="00640986" w14:paraId="4B534124" w14:textId="4189DCDB">
            <w:pPr>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4"/>
                <w:szCs w:val="24"/>
              </w:rPr>
            </w:pPr>
            <w:r>
              <w:rPr>
                <w:noProof/>
                <w:color w:val="FFFFFF" w:themeColor="background1"/>
                <w:sz w:val="24"/>
                <w:szCs w:val="24"/>
              </w:rPr>
              <w:t>County Independent Placement Panel</w:t>
            </w:r>
          </w:p>
        </w:tc>
      </w:tr>
      <w:tr w:rsidR="00640986" w:rsidTr="00A423F6" w14:paraId="380F09FC" w14:textId="7777777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279" w:type="dxa"/>
          </w:tcPr>
          <w:p w:rsidRPr="00102A1D" w:rsidR="00640986" w:rsidP="00102A1D" w:rsidRDefault="00640986" w14:paraId="726B7D1F" w14:textId="2F5A4C47">
            <w:pPr>
              <w:pStyle w:val="ListParagraph"/>
              <w:numPr>
                <w:ilvl w:val="0"/>
                <w:numId w:val="12"/>
              </w:numPr>
              <w:ind w:left="306" w:hanging="284"/>
              <w:jc w:val="left"/>
              <w:rPr>
                <w:noProof/>
                <w:sz w:val="24"/>
                <w:szCs w:val="24"/>
              </w:rPr>
            </w:pPr>
            <w:r w:rsidRPr="00102A1D">
              <w:rPr>
                <w:noProof/>
                <w:sz w:val="24"/>
                <w:szCs w:val="24"/>
              </w:rPr>
              <w:t>Request for EHCNA</w:t>
            </w:r>
          </w:p>
        </w:tc>
        <w:tc>
          <w:tcPr>
            <w:tcW w:w="1628" w:type="dxa"/>
            <w:vAlign w:val="center"/>
          </w:tcPr>
          <w:p w:rsidRPr="00102A1D" w:rsidR="00640986" w:rsidP="00102A1D" w:rsidRDefault="00640986" w14:paraId="20AC1090" w14:textId="0D2E24AC">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533" w:type="dxa"/>
            <w:vAlign w:val="center"/>
          </w:tcPr>
          <w:p w:rsidRPr="00102A1D" w:rsidR="00640986" w:rsidP="00102A1D" w:rsidRDefault="00640986" w14:paraId="0404395C" w14:textId="77777777">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470" w:type="dxa"/>
            <w:vAlign w:val="center"/>
          </w:tcPr>
          <w:p w:rsidRPr="00102A1D" w:rsidR="00640986" w:rsidP="00102A1D" w:rsidRDefault="00640986" w14:paraId="3119381E" w14:textId="77777777">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520" w:type="dxa"/>
            <w:vAlign w:val="center"/>
          </w:tcPr>
          <w:p w:rsidRPr="008577D7" w:rsidR="00640986" w:rsidP="00102A1D" w:rsidRDefault="00640986" w14:paraId="2F8AAB7E" w14:textId="03940E7F">
            <w:pPr>
              <w:jc w:val="center"/>
              <w:cnfStyle w:val="000000100000" w:firstRow="0" w:lastRow="0" w:firstColumn="0" w:lastColumn="0" w:oddVBand="0" w:evenVBand="0" w:oddHBand="1" w:evenHBand="0" w:firstRowFirstColumn="0" w:firstRowLastColumn="0" w:lastRowFirstColumn="0" w:lastRowLastColumn="0"/>
              <w:rPr>
                <w:noProof/>
                <w:sz w:val="24"/>
                <w:szCs w:val="24"/>
              </w:rPr>
            </w:pPr>
            <w:r w:rsidRPr="008577D7">
              <w:rPr>
                <w:noProof/>
                <w:sz w:val="24"/>
                <w:szCs w:val="24"/>
              </w:rPr>
              <w:t>X</w:t>
            </w:r>
          </w:p>
        </w:tc>
        <w:tc>
          <w:tcPr>
            <w:tcW w:w="1441" w:type="dxa"/>
          </w:tcPr>
          <w:p w:rsidRPr="008577D7" w:rsidR="00640986" w:rsidP="00102A1D" w:rsidRDefault="009E63A9" w14:paraId="33342F90" w14:textId="6D50BA6B">
            <w:pPr>
              <w:jc w:val="center"/>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X</w:t>
            </w:r>
          </w:p>
        </w:tc>
        <w:tc>
          <w:tcPr>
            <w:tcW w:w="1467" w:type="dxa"/>
            <w:vAlign w:val="center"/>
          </w:tcPr>
          <w:p w:rsidRPr="008577D7" w:rsidR="00640986" w:rsidP="00102A1D" w:rsidRDefault="00640986" w14:paraId="75E1DD62" w14:textId="1AC2834F">
            <w:pPr>
              <w:jc w:val="center"/>
              <w:cnfStyle w:val="000000100000" w:firstRow="0" w:lastRow="0" w:firstColumn="0" w:lastColumn="0" w:oddVBand="0" w:evenVBand="0" w:oddHBand="1" w:evenHBand="0" w:firstRowFirstColumn="0" w:firstRowLastColumn="0" w:lastRowFirstColumn="0" w:lastRowLastColumn="0"/>
              <w:rPr>
                <w:noProof/>
                <w:sz w:val="24"/>
                <w:szCs w:val="24"/>
              </w:rPr>
            </w:pPr>
            <w:r w:rsidRPr="008577D7">
              <w:rPr>
                <w:noProof/>
                <w:sz w:val="24"/>
                <w:szCs w:val="24"/>
              </w:rPr>
              <w:t>X</w:t>
            </w:r>
          </w:p>
        </w:tc>
        <w:tc>
          <w:tcPr>
            <w:tcW w:w="1426" w:type="dxa"/>
            <w:vAlign w:val="center"/>
          </w:tcPr>
          <w:p w:rsidRPr="00102A1D" w:rsidR="00640986" w:rsidP="00102A1D" w:rsidRDefault="00640986" w14:paraId="74F6E5EB" w14:textId="77777777">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24" w:type="dxa"/>
            <w:gridSpan w:val="2"/>
            <w:vAlign w:val="center"/>
          </w:tcPr>
          <w:p w:rsidRPr="00102A1D" w:rsidR="00640986" w:rsidP="00102A1D" w:rsidRDefault="00640986" w14:paraId="3EDF692C" w14:textId="77777777">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r>
      <w:tr w:rsidR="00640986" w:rsidTr="00A423F6" w14:paraId="45A02029" w14:textId="77777777">
        <w:trPr>
          <w:trHeight w:val="292"/>
        </w:trPr>
        <w:tc>
          <w:tcPr>
            <w:cnfStyle w:val="001000000000" w:firstRow="0" w:lastRow="0" w:firstColumn="1" w:lastColumn="0" w:oddVBand="0" w:evenVBand="0" w:oddHBand="0" w:evenHBand="0" w:firstRowFirstColumn="0" w:firstRowLastColumn="0" w:lastRowFirstColumn="0" w:lastRowLastColumn="0"/>
            <w:tcW w:w="3279" w:type="dxa"/>
          </w:tcPr>
          <w:p w:rsidRPr="00102A1D" w:rsidR="00640986" w:rsidP="00102A1D" w:rsidRDefault="00640986" w14:paraId="33FEDEF1" w14:textId="07785465">
            <w:pPr>
              <w:pStyle w:val="ListParagraph"/>
              <w:numPr>
                <w:ilvl w:val="0"/>
                <w:numId w:val="12"/>
              </w:numPr>
              <w:ind w:left="306" w:hanging="284"/>
              <w:jc w:val="left"/>
              <w:rPr>
                <w:b w:val="0"/>
                <w:bCs w:val="0"/>
                <w:noProof/>
                <w:sz w:val="24"/>
                <w:szCs w:val="24"/>
              </w:rPr>
            </w:pPr>
            <w:r w:rsidRPr="00102A1D">
              <w:rPr>
                <w:noProof/>
                <w:sz w:val="24"/>
                <w:szCs w:val="24"/>
              </w:rPr>
              <w:t>Decision to issue EHC</w:t>
            </w:r>
            <w:r>
              <w:rPr>
                <w:noProof/>
                <w:sz w:val="24"/>
                <w:szCs w:val="24"/>
              </w:rPr>
              <w:t xml:space="preserve"> plan</w:t>
            </w:r>
          </w:p>
        </w:tc>
        <w:tc>
          <w:tcPr>
            <w:tcW w:w="1628" w:type="dxa"/>
            <w:vAlign w:val="center"/>
          </w:tcPr>
          <w:p w:rsidRPr="00102A1D" w:rsidR="00640986" w:rsidP="00102A1D" w:rsidRDefault="00640986" w14:paraId="53BB8796" w14:textId="11F61D56">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533" w:type="dxa"/>
            <w:vAlign w:val="center"/>
          </w:tcPr>
          <w:p w:rsidRPr="00102A1D" w:rsidR="00640986" w:rsidP="00102A1D" w:rsidRDefault="00640986" w14:paraId="5C4D5CA2" w14:textId="77777777">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470" w:type="dxa"/>
            <w:vAlign w:val="center"/>
          </w:tcPr>
          <w:p w:rsidRPr="00102A1D" w:rsidR="00640986" w:rsidP="00102A1D" w:rsidRDefault="00640986" w14:paraId="1EE79635" w14:textId="77777777">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520" w:type="dxa"/>
            <w:vAlign w:val="center"/>
          </w:tcPr>
          <w:p w:rsidRPr="00102A1D" w:rsidR="00640986" w:rsidP="00102A1D" w:rsidRDefault="00640986" w14:paraId="357A438D" w14:textId="57B586DD">
            <w:pPr>
              <w:jc w:val="center"/>
              <w:cnfStyle w:val="000000000000" w:firstRow="0" w:lastRow="0" w:firstColumn="0" w:lastColumn="0" w:oddVBand="0" w:evenVBand="0" w:oddHBand="0" w:evenHBand="0" w:firstRowFirstColumn="0" w:firstRowLastColumn="0" w:lastRowFirstColumn="0" w:lastRowLastColumn="0"/>
              <w:rPr>
                <w:noProof/>
                <w:sz w:val="24"/>
                <w:szCs w:val="24"/>
              </w:rPr>
            </w:pPr>
            <w:r w:rsidRPr="00102A1D">
              <w:rPr>
                <w:noProof/>
                <w:sz w:val="24"/>
                <w:szCs w:val="24"/>
              </w:rPr>
              <w:t>X</w:t>
            </w:r>
          </w:p>
        </w:tc>
        <w:tc>
          <w:tcPr>
            <w:tcW w:w="1441" w:type="dxa"/>
          </w:tcPr>
          <w:p w:rsidRPr="00102A1D" w:rsidR="00640986" w:rsidP="00102A1D" w:rsidRDefault="009E63A9" w14:paraId="5400E627" w14:textId="20BA3C4F">
            <w:pPr>
              <w:jc w:val="center"/>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X</w:t>
            </w:r>
          </w:p>
        </w:tc>
        <w:tc>
          <w:tcPr>
            <w:tcW w:w="1467" w:type="dxa"/>
            <w:vAlign w:val="center"/>
          </w:tcPr>
          <w:p w:rsidRPr="00102A1D" w:rsidR="00640986" w:rsidP="00102A1D" w:rsidRDefault="00640986" w14:paraId="2E7E38F6" w14:textId="7D70307B">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426" w:type="dxa"/>
            <w:vAlign w:val="center"/>
          </w:tcPr>
          <w:p w:rsidRPr="00102A1D" w:rsidR="00640986" w:rsidP="00102A1D" w:rsidRDefault="00640986" w14:paraId="3B5C0CCF" w14:textId="6A03C285">
            <w:pPr>
              <w:jc w:val="center"/>
              <w:cnfStyle w:val="000000000000" w:firstRow="0" w:lastRow="0" w:firstColumn="0" w:lastColumn="0" w:oddVBand="0" w:evenVBand="0" w:oddHBand="0" w:evenHBand="0" w:firstRowFirstColumn="0" w:firstRowLastColumn="0" w:lastRowFirstColumn="0" w:lastRowLastColumn="0"/>
              <w:rPr>
                <w:noProof/>
                <w:sz w:val="24"/>
                <w:szCs w:val="24"/>
              </w:rPr>
            </w:pPr>
            <w:r w:rsidRPr="00102A1D">
              <w:rPr>
                <w:noProof/>
                <w:sz w:val="24"/>
                <w:szCs w:val="24"/>
              </w:rPr>
              <w:t>X</w:t>
            </w:r>
          </w:p>
        </w:tc>
        <w:tc>
          <w:tcPr>
            <w:tcW w:w="1624" w:type="dxa"/>
            <w:gridSpan w:val="2"/>
            <w:vAlign w:val="center"/>
          </w:tcPr>
          <w:p w:rsidRPr="00102A1D" w:rsidR="00640986" w:rsidP="00102A1D" w:rsidRDefault="00640986" w14:paraId="55643A10" w14:textId="77777777">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r>
      <w:tr w:rsidR="00640986" w:rsidTr="00A423F6" w14:paraId="76860124" w14:textId="7777777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279" w:type="dxa"/>
          </w:tcPr>
          <w:p w:rsidRPr="00102A1D" w:rsidR="00640986" w:rsidP="00102A1D" w:rsidRDefault="00640986" w14:paraId="590898F2" w14:textId="1D27E7D7">
            <w:pPr>
              <w:pStyle w:val="ListParagraph"/>
              <w:numPr>
                <w:ilvl w:val="0"/>
                <w:numId w:val="12"/>
              </w:numPr>
              <w:ind w:left="306" w:hanging="284"/>
              <w:jc w:val="left"/>
              <w:rPr>
                <w:noProof/>
                <w:sz w:val="24"/>
                <w:szCs w:val="24"/>
              </w:rPr>
            </w:pPr>
            <w:r w:rsidRPr="00102A1D">
              <w:rPr>
                <w:noProof/>
                <w:sz w:val="24"/>
                <w:szCs w:val="24"/>
              </w:rPr>
              <w:t>Annual Review</w:t>
            </w:r>
            <w:r>
              <w:rPr>
                <w:noProof/>
                <w:sz w:val="24"/>
                <w:szCs w:val="24"/>
              </w:rPr>
              <w:br/>
            </w:r>
            <w:r w:rsidRPr="00102A1D">
              <w:rPr>
                <w:b w:val="0"/>
                <w:bCs w:val="0"/>
                <w:noProof/>
                <w:sz w:val="24"/>
                <w:szCs w:val="24"/>
              </w:rPr>
              <w:t>… initial triage, no change</w:t>
            </w:r>
            <w:r w:rsidR="006C161C">
              <w:rPr>
                <w:b w:val="0"/>
                <w:bCs w:val="0"/>
                <w:noProof/>
                <w:sz w:val="24"/>
                <w:szCs w:val="24"/>
              </w:rPr>
              <w:t xml:space="preserve"> to placement type</w:t>
            </w:r>
          </w:p>
        </w:tc>
        <w:tc>
          <w:tcPr>
            <w:tcW w:w="1628" w:type="dxa"/>
            <w:vAlign w:val="center"/>
          </w:tcPr>
          <w:p w:rsidRPr="00102A1D" w:rsidR="00640986" w:rsidP="00102A1D" w:rsidRDefault="00640986" w14:paraId="39E07440" w14:textId="49C4F5CA">
            <w:pPr>
              <w:jc w:val="center"/>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X</w:t>
            </w:r>
          </w:p>
        </w:tc>
        <w:tc>
          <w:tcPr>
            <w:tcW w:w="1533" w:type="dxa"/>
            <w:vAlign w:val="center"/>
          </w:tcPr>
          <w:p w:rsidRPr="00102A1D" w:rsidR="00640986" w:rsidP="00102A1D" w:rsidRDefault="00640986" w14:paraId="72D88A26" w14:textId="0C953D5B">
            <w:pPr>
              <w:jc w:val="center"/>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X</w:t>
            </w:r>
          </w:p>
        </w:tc>
        <w:tc>
          <w:tcPr>
            <w:tcW w:w="1470" w:type="dxa"/>
            <w:vAlign w:val="center"/>
          </w:tcPr>
          <w:p w:rsidRPr="00102A1D" w:rsidR="00640986" w:rsidP="00102A1D" w:rsidRDefault="00640986" w14:paraId="7838B7E8" w14:textId="545F9556">
            <w:pPr>
              <w:jc w:val="center"/>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X</w:t>
            </w:r>
          </w:p>
        </w:tc>
        <w:tc>
          <w:tcPr>
            <w:tcW w:w="1520" w:type="dxa"/>
            <w:vAlign w:val="center"/>
          </w:tcPr>
          <w:p w:rsidRPr="00102A1D" w:rsidR="00640986" w:rsidP="00102A1D" w:rsidRDefault="00640986" w14:paraId="32F432E6" w14:textId="64D03D6D">
            <w:pPr>
              <w:jc w:val="center"/>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X</w:t>
            </w:r>
          </w:p>
        </w:tc>
        <w:tc>
          <w:tcPr>
            <w:tcW w:w="1441" w:type="dxa"/>
          </w:tcPr>
          <w:p w:rsidRPr="00102A1D" w:rsidR="00640986" w:rsidP="00102A1D" w:rsidRDefault="009E63A9" w14:paraId="278935E4" w14:textId="71B1F784">
            <w:pPr>
              <w:jc w:val="center"/>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X</w:t>
            </w:r>
          </w:p>
        </w:tc>
        <w:tc>
          <w:tcPr>
            <w:tcW w:w="1467" w:type="dxa"/>
            <w:vAlign w:val="center"/>
          </w:tcPr>
          <w:p w:rsidRPr="00102A1D" w:rsidR="00640986" w:rsidP="00102A1D" w:rsidRDefault="00640986" w14:paraId="5D515F85" w14:textId="415651B4">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426" w:type="dxa"/>
            <w:vAlign w:val="center"/>
          </w:tcPr>
          <w:p w:rsidRPr="00102A1D" w:rsidR="00640986" w:rsidP="00102A1D" w:rsidRDefault="00640986" w14:paraId="15CA537A" w14:textId="77777777">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24" w:type="dxa"/>
            <w:gridSpan w:val="2"/>
            <w:vAlign w:val="center"/>
          </w:tcPr>
          <w:p w:rsidRPr="00102A1D" w:rsidR="00640986" w:rsidP="00102A1D" w:rsidRDefault="00640986" w14:paraId="0DF120DA" w14:textId="77777777">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r>
      <w:tr w:rsidR="00640986" w:rsidTr="00A423F6" w14:paraId="535FDA62" w14:textId="77777777">
        <w:trPr>
          <w:trHeight w:val="292"/>
        </w:trPr>
        <w:tc>
          <w:tcPr>
            <w:cnfStyle w:val="001000000000" w:firstRow="0" w:lastRow="0" w:firstColumn="1" w:lastColumn="0" w:oddVBand="0" w:evenVBand="0" w:oddHBand="0" w:evenHBand="0" w:firstRowFirstColumn="0" w:firstRowLastColumn="0" w:lastRowFirstColumn="0" w:lastRowLastColumn="0"/>
            <w:tcW w:w="3279" w:type="dxa"/>
          </w:tcPr>
          <w:p w:rsidRPr="00DB2642" w:rsidR="00640986" w:rsidP="008019C7" w:rsidRDefault="00640986" w14:paraId="0F3DB84D" w14:textId="77AAB518">
            <w:pPr>
              <w:rPr>
                <w:noProof/>
                <w:sz w:val="24"/>
                <w:szCs w:val="24"/>
              </w:rPr>
            </w:pPr>
            <w:r w:rsidRPr="00AD1045">
              <w:rPr>
                <w:b w:val="0"/>
                <w:bCs w:val="0"/>
                <w:noProof/>
                <w:sz w:val="24"/>
                <w:szCs w:val="24"/>
              </w:rPr>
              <w:t xml:space="preserve">      …</w:t>
            </w:r>
            <w:r>
              <w:rPr>
                <w:b w:val="0"/>
                <w:bCs w:val="0"/>
                <w:noProof/>
                <w:sz w:val="24"/>
                <w:szCs w:val="24"/>
              </w:rPr>
              <w:t>change of placement, type remains the same</w:t>
            </w:r>
            <w:r w:rsidRPr="003D426A">
              <w:rPr>
                <w:b w:val="0"/>
                <w:bCs w:val="0"/>
                <w:noProof/>
                <w:sz w:val="24"/>
                <w:szCs w:val="24"/>
              </w:rPr>
              <w:t xml:space="preserve"> </w:t>
            </w:r>
          </w:p>
        </w:tc>
        <w:tc>
          <w:tcPr>
            <w:tcW w:w="1628" w:type="dxa"/>
            <w:vAlign w:val="center"/>
          </w:tcPr>
          <w:p w:rsidRPr="00102A1D" w:rsidR="00640986" w:rsidP="00102A1D" w:rsidRDefault="00640986" w14:paraId="4DD42196" w14:textId="5FF6C9F7">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533" w:type="dxa"/>
            <w:vAlign w:val="center"/>
          </w:tcPr>
          <w:p w:rsidRPr="00102A1D" w:rsidR="00640986" w:rsidP="00102A1D" w:rsidRDefault="00640986" w14:paraId="5E19597F" w14:textId="77777777">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470" w:type="dxa"/>
            <w:vAlign w:val="center"/>
          </w:tcPr>
          <w:p w:rsidRPr="00102A1D" w:rsidR="00640986" w:rsidP="00102A1D" w:rsidRDefault="00640986" w14:paraId="0D8B4D75" w14:textId="56CE21F1">
            <w:pPr>
              <w:jc w:val="center"/>
              <w:cnfStyle w:val="000000000000" w:firstRow="0" w:lastRow="0" w:firstColumn="0" w:lastColumn="0" w:oddVBand="0" w:evenVBand="0" w:oddHBand="0" w:evenHBand="0" w:firstRowFirstColumn="0" w:firstRowLastColumn="0" w:lastRowFirstColumn="0" w:lastRowLastColumn="0"/>
              <w:rPr>
                <w:noProof/>
                <w:sz w:val="24"/>
                <w:szCs w:val="24"/>
              </w:rPr>
            </w:pPr>
            <w:r w:rsidRPr="00102A1D">
              <w:rPr>
                <w:noProof/>
                <w:sz w:val="24"/>
                <w:szCs w:val="24"/>
              </w:rPr>
              <w:t>X</w:t>
            </w:r>
          </w:p>
        </w:tc>
        <w:tc>
          <w:tcPr>
            <w:tcW w:w="1520" w:type="dxa"/>
            <w:vAlign w:val="center"/>
          </w:tcPr>
          <w:p w:rsidRPr="00102A1D" w:rsidR="00640986" w:rsidP="00102A1D" w:rsidRDefault="00640986" w14:paraId="34273FB2" w14:textId="44687D40">
            <w:pPr>
              <w:jc w:val="center"/>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X</w:t>
            </w:r>
          </w:p>
        </w:tc>
        <w:tc>
          <w:tcPr>
            <w:tcW w:w="1441" w:type="dxa"/>
          </w:tcPr>
          <w:p w:rsidRPr="00102A1D" w:rsidR="00640986" w:rsidP="00102A1D" w:rsidRDefault="009E63A9" w14:paraId="3A6562F2" w14:textId="6118658B">
            <w:pPr>
              <w:jc w:val="center"/>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X</w:t>
            </w:r>
          </w:p>
        </w:tc>
        <w:tc>
          <w:tcPr>
            <w:tcW w:w="1467" w:type="dxa"/>
            <w:vAlign w:val="center"/>
          </w:tcPr>
          <w:p w:rsidRPr="00102A1D" w:rsidR="00640986" w:rsidP="00102A1D" w:rsidRDefault="00640986" w14:paraId="60C3605C" w14:textId="438758C5">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426" w:type="dxa"/>
            <w:vAlign w:val="center"/>
          </w:tcPr>
          <w:p w:rsidRPr="00102A1D" w:rsidR="00640986" w:rsidP="00102A1D" w:rsidRDefault="00640986" w14:paraId="42549B50" w14:textId="77777777">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624" w:type="dxa"/>
            <w:gridSpan w:val="2"/>
            <w:vAlign w:val="center"/>
          </w:tcPr>
          <w:p w:rsidRPr="00102A1D" w:rsidR="00640986" w:rsidP="00102A1D" w:rsidRDefault="00640986" w14:paraId="42D72980" w14:textId="77777777">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r>
      <w:tr w:rsidR="00640986" w:rsidTr="00A423F6" w14:paraId="49E11F12" w14:textId="7777777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279" w:type="dxa"/>
          </w:tcPr>
          <w:p w:rsidRPr="00102A1D" w:rsidR="00640986" w:rsidP="00102A1D" w:rsidRDefault="00640986" w14:paraId="71EBA45A" w14:textId="11CC1F0E">
            <w:pPr>
              <w:pStyle w:val="ListParagraph"/>
              <w:ind w:left="306"/>
              <w:rPr>
                <w:b w:val="0"/>
                <w:bCs w:val="0"/>
                <w:noProof/>
                <w:sz w:val="24"/>
                <w:szCs w:val="24"/>
              </w:rPr>
            </w:pPr>
            <w:r>
              <w:rPr>
                <w:b w:val="0"/>
                <w:bCs w:val="0"/>
                <w:noProof/>
                <w:sz w:val="24"/>
                <w:szCs w:val="24"/>
              </w:rPr>
              <w:t>… c</w:t>
            </w:r>
            <w:r w:rsidRPr="00102A1D">
              <w:rPr>
                <w:b w:val="0"/>
                <w:bCs w:val="0"/>
                <w:noProof/>
                <w:sz w:val="24"/>
                <w:szCs w:val="24"/>
              </w:rPr>
              <w:t>hange of placement type</w:t>
            </w:r>
            <w:r w:rsidR="00F5555C">
              <w:rPr>
                <w:b w:val="0"/>
                <w:bCs w:val="0"/>
                <w:noProof/>
                <w:sz w:val="24"/>
                <w:szCs w:val="24"/>
              </w:rPr>
              <w:t xml:space="preserve"> </w:t>
            </w:r>
          </w:p>
        </w:tc>
        <w:tc>
          <w:tcPr>
            <w:tcW w:w="1628" w:type="dxa"/>
            <w:vAlign w:val="center"/>
          </w:tcPr>
          <w:p w:rsidRPr="00102A1D" w:rsidR="00640986" w:rsidP="00102A1D" w:rsidRDefault="00640986" w14:paraId="780D15C4" w14:textId="56F39C28">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533" w:type="dxa"/>
            <w:vAlign w:val="center"/>
          </w:tcPr>
          <w:p w:rsidRPr="00102A1D" w:rsidR="00640986" w:rsidP="00102A1D" w:rsidRDefault="00640986" w14:paraId="2908F0D2" w14:textId="77777777">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470" w:type="dxa"/>
            <w:vAlign w:val="center"/>
          </w:tcPr>
          <w:p w:rsidRPr="00102A1D" w:rsidR="00640986" w:rsidP="00102A1D" w:rsidRDefault="00640986" w14:paraId="570B826D" w14:textId="77777777">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520" w:type="dxa"/>
            <w:vAlign w:val="center"/>
          </w:tcPr>
          <w:p w:rsidRPr="00102A1D" w:rsidR="00640986" w:rsidP="00102A1D" w:rsidRDefault="00640986" w14:paraId="6F977D24" w14:textId="2CB599AD">
            <w:pPr>
              <w:jc w:val="center"/>
              <w:cnfStyle w:val="000000100000" w:firstRow="0" w:lastRow="0" w:firstColumn="0" w:lastColumn="0" w:oddVBand="0" w:evenVBand="0" w:oddHBand="1" w:evenHBand="0" w:firstRowFirstColumn="0" w:firstRowLastColumn="0" w:lastRowFirstColumn="0" w:lastRowLastColumn="0"/>
              <w:rPr>
                <w:noProof/>
                <w:sz w:val="24"/>
                <w:szCs w:val="24"/>
              </w:rPr>
            </w:pPr>
            <w:r w:rsidRPr="00102A1D">
              <w:rPr>
                <w:noProof/>
                <w:sz w:val="24"/>
                <w:szCs w:val="24"/>
              </w:rPr>
              <w:t>X</w:t>
            </w:r>
          </w:p>
        </w:tc>
        <w:tc>
          <w:tcPr>
            <w:tcW w:w="1441" w:type="dxa"/>
          </w:tcPr>
          <w:p w:rsidRPr="00102A1D" w:rsidR="00640986" w:rsidP="00102A1D" w:rsidRDefault="009E63A9" w14:paraId="70FD116D" w14:textId="2126B4DE">
            <w:pPr>
              <w:jc w:val="center"/>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X</w:t>
            </w:r>
          </w:p>
        </w:tc>
        <w:tc>
          <w:tcPr>
            <w:tcW w:w="1467" w:type="dxa"/>
            <w:vAlign w:val="center"/>
          </w:tcPr>
          <w:p w:rsidRPr="00102A1D" w:rsidR="00640986" w:rsidP="00102A1D" w:rsidRDefault="00640986" w14:paraId="21A8BD59" w14:textId="0D116FDC">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426" w:type="dxa"/>
            <w:vAlign w:val="center"/>
          </w:tcPr>
          <w:p w:rsidRPr="00102A1D" w:rsidR="00640986" w:rsidP="00102A1D" w:rsidRDefault="00640986" w14:paraId="6174CF21" w14:textId="35FDEF6A">
            <w:pPr>
              <w:jc w:val="center"/>
              <w:cnfStyle w:val="000000100000" w:firstRow="0" w:lastRow="0" w:firstColumn="0" w:lastColumn="0" w:oddVBand="0" w:evenVBand="0" w:oddHBand="1" w:evenHBand="0" w:firstRowFirstColumn="0" w:firstRowLastColumn="0" w:lastRowFirstColumn="0" w:lastRowLastColumn="0"/>
              <w:rPr>
                <w:noProof/>
                <w:sz w:val="24"/>
                <w:szCs w:val="24"/>
              </w:rPr>
            </w:pPr>
            <w:r w:rsidRPr="00102A1D">
              <w:rPr>
                <w:noProof/>
                <w:sz w:val="24"/>
                <w:szCs w:val="24"/>
              </w:rPr>
              <w:t>X</w:t>
            </w:r>
          </w:p>
        </w:tc>
        <w:tc>
          <w:tcPr>
            <w:tcW w:w="1624" w:type="dxa"/>
            <w:gridSpan w:val="2"/>
            <w:vAlign w:val="center"/>
          </w:tcPr>
          <w:p w:rsidRPr="00102A1D" w:rsidR="00640986" w:rsidP="00102A1D" w:rsidRDefault="00640986" w14:paraId="593B0FFC" w14:textId="278E3719">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r>
      <w:tr w:rsidR="00640986" w:rsidTr="00A423F6" w14:paraId="16255D05" w14:textId="77777777">
        <w:trPr>
          <w:trHeight w:val="292"/>
        </w:trPr>
        <w:tc>
          <w:tcPr>
            <w:cnfStyle w:val="001000000000" w:firstRow="0" w:lastRow="0" w:firstColumn="1" w:lastColumn="0" w:oddVBand="0" w:evenVBand="0" w:oddHBand="0" w:evenHBand="0" w:firstRowFirstColumn="0" w:firstRowLastColumn="0" w:lastRowFirstColumn="0" w:lastRowLastColumn="0"/>
            <w:tcW w:w="3279" w:type="dxa"/>
          </w:tcPr>
          <w:p w:rsidRPr="00BE033F" w:rsidR="00640986" w:rsidP="00102A1D" w:rsidRDefault="00640986" w14:paraId="0053EE53" w14:textId="74103770">
            <w:pPr>
              <w:pStyle w:val="ListParagraph"/>
              <w:ind w:left="306"/>
              <w:rPr>
                <w:b w:val="0"/>
                <w:bCs w:val="0"/>
                <w:noProof/>
                <w:sz w:val="24"/>
                <w:szCs w:val="24"/>
              </w:rPr>
            </w:pPr>
            <w:proofErr w:type="gramStart"/>
            <w:r w:rsidRPr="00BB238B">
              <w:rPr>
                <w:sz w:val="24"/>
                <w:szCs w:val="24"/>
              </w:rPr>
              <w:t>…..</w:t>
            </w:r>
            <w:proofErr w:type="gramEnd"/>
            <w:r w:rsidRPr="00BB238B">
              <w:rPr>
                <w:sz w:val="24"/>
                <w:szCs w:val="24"/>
              </w:rPr>
              <w:t>cease EHC plan</w:t>
            </w:r>
          </w:p>
        </w:tc>
        <w:tc>
          <w:tcPr>
            <w:tcW w:w="1628" w:type="dxa"/>
            <w:vAlign w:val="center"/>
          </w:tcPr>
          <w:p w:rsidRPr="00102A1D" w:rsidR="00640986" w:rsidP="00102A1D" w:rsidRDefault="00640986" w14:paraId="2EEA92BD" w14:textId="77777777">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533" w:type="dxa"/>
            <w:vAlign w:val="center"/>
          </w:tcPr>
          <w:p w:rsidRPr="00102A1D" w:rsidR="00640986" w:rsidP="00102A1D" w:rsidRDefault="00640986" w14:paraId="780C1E8E" w14:textId="77777777">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470" w:type="dxa"/>
            <w:vAlign w:val="center"/>
          </w:tcPr>
          <w:p w:rsidRPr="00102A1D" w:rsidR="00640986" w:rsidP="00102A1D" w:rsidRDefault="00640986" w14:paraId="03FD2361" w14:textId="77777777">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520" w:type="dxa"/>
            <w:vAlign w:val="center"/>
          </w:tcPr>
          <w:p w:rsidRPr="00102A1D" w:rsidR="00640986" w:rsidP="00102A1D" w:rsidRDefault="00640986" w14:paraId="2142E208" w14:textId="202A9DCC">
            <w:pPr>
              <w:jc w:val="center"/>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X</w:t>
            </w:r>
          </w:p>
        </w:tc>
        <w:tc>
          <w:tcPr>
            <w:tcW w:w="1441" w:type="dxa"/>
          </w:tcPr>
          <w:p w:rsidRPr="00102A1D" w:rsidR="00640986" w:rsidP="00102A1D" w:rsidRDefault="009E63A9" w14:paraId="4C90B9B2" w14:textId="095E512E">
            <w:pPr>
              <w:jc w:val="center"/>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X</w:t>
            </w:r>
          </w:p>
        </w:tc>
        <w:tc>
          <w:tcPr>
            <w:tcW w:w="1467" w:type="dxa"/>
            <w:vAlign w:val="center"/>
          </w:tcPr>
          <w:p w:rsidRPr="00102A1D" w:rsidR="00640986" w:rsidP="00102A1D" w:rsidRDefault="00640986" w14:paraId="1DE623AD" w14:textId="6DA77718">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426" w:type="dxa"/>
            <w:vAlign w:val="center"/>
          </w:tcPr>
          <w:p w:rsidRPr="00102A1D" w:rsidR="00640986" w:rsidP="00102A1D" w:rsidRDefault="00640986" w14:paraId="20F3645D" w14:textId="4883E255">
            <w:pPr>
              <w:jc w:val="center"/>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X</w:t>
            </w:r>
          </w:p>
        </w:tc>
        <w:tc>
          <w:tcPr>
            <w:tcW w:w="1624" w:type="dxa"/>
            <w:gridSpan w:val="2"/>
            <w:vAlign w:val="center"/>
          </w:tcPr>
          <w:p w:rsidRPr="00102A1D" w:rsidR="00640986" w:rsidP="00102A1D" w:rsidRDefault="00640986" w14:paraId="345E0653" w14:textId="77777777">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r>
      <w:tr w:rsidR="00640986" w:rsidTr="00A423F6" w14:paraId="490CD934" w14:textId="7777777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279" w:type="dxa"/>
          </w:tcPr>
          <w:p w:rsidRPr="00102A1D" w:rsidR="00640986" w:rsidP="00102A1D" w:rsidRDefault="00640986" w14:paraId="5C47AAB4" w14:textId="3C11D39B">
            <w:pPr>
              <w:pStyle w:val="ListParagraph"/>
              <w:numPr>
                <w:ilvl w:val="0"/>
                <w:numId w:val="12"/>
              </w:numPr>
              <w:ind w:left="306" w:hanging="284"/>
              <w:jc w:val="left"/>
              <w:rPr>
                <w:noProof/>
                <w:sz w:val="24"/>
                <w:szCs w:val="24"/>
              </w:rPr>
            </w:pPr>
            <w:r w:rsidRPr="00102A1D">
              <w:rPr>
                <w:noProof/>
                <w:sz w:val="24"/>
                <w:szCs w:val="24"/>
              </w:rPr>
              <w:t>Adopting EHCPs from other areas</w:t>
            </w:r>
          </w:p>
          <w:p w:rsidRPr="00102A1D" w:rsidR="00640986" w:rsidP="00102A1D" w:rsidRDefault="00640986" w14:paraId="1CAEAB91" w14:textId="7FA72253">
            <w:pPr>
              <w:pStyle w:val="ListParagraph"/>
              <w:ind w:left="306"/>
              <w:rPr>
                <w:b w:val="0"/>
                <w:bCs w:val="0"/>
                <w:noProof/>
                <w:sz w:val="24"/>
                <w:szCs w:val="24"/>
              </w:rPr>
            </w:pPr>
            <w:r w:rsidRPr="00102A1D">
              <w:rPr>
                <w:b w:val="0"/>
                <w:bCs w:val="0"/>
                <w:noProof/>
                <w:sz w:val="24"/>
                <w:szCs w:val="24"/>
              </w:rPr>
              <w:t>Straightforward/direct equivalent</w:t>
            </w:r>
          </w:p>
        </w:tc>
        <w:tc>
          <w:tcPr>
            <w:tcW w:w="1628" w:type="dxa"/>
            <w:vAlign w:val="center"/>
          </w:tcPr>
          <w:p w:rsidRPr="00102A1D" w:rsidR="00640986" w:rsidP="00102A1D" w:rsidRDefault="00640986" w14:paraId="73F88894" w14:textId="6C92022E">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533" w:type="dxa"/>
            <w:vAlign w:val="center"/>
          </w:tcPr>
          <w:p w:rsidRPr="00102A1D" w:rsidR="00640986" w:rsidP="00102A1D" w:rsidRDefault="00640986" w14:paraId="209C8ABB" w14:textId="14F7C13F">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470" w:type="dxa"/>
            <w:vAlign w:val="center"/>
          </w:tcPr>
          <w:p w:rsidRPr="00102A1D" w:rsidR="00640986" w:rsidP="00102A1D" w:rsidRDefault="00640986" w14:paraId="3082F03E" w14:textId="2C47291A">
            <w:pPr>
              <w:jc w:val="center"/>
              <w:cnfStyle w:val="000000100000" w:firstRow="0" w:lastRow="0" w:firstColumn="0" w:lastColumn="0" w:oddVBand="0" w:evenVBand="0" w:oddHBand="1" w:evenHBand="0" w:firstRowFirstColumn="0" w:firstRowLastColumn="0" w:lastRowFirstColumn="0" w:lastRowLastColumn="0"/>
              <w:rPr>
                <w:noProof/>
                <w:sz w:val="24"/>
                <w:szCs w:val="24"/>
              </w:rPr>
            </w:pPr>
            <w:r w:rsidRPr="00102A1D">
              <w:rPr>
                <w:noProof/>
                <w:sz w:val="24"/>
                <w:szCs w:val="24"/>
              </w:rPr>
              <w:t>X</w:t>
            </w:r>
          </w:p>
        </w:tc>
        <w:tc>
          <w:tcPr>
            <w:tcW w:w="1520" w:type="dxa"/>
            <w:vAlign w:val="center"/>
          </w:tcPr>
          <w:p w:rsidRPr="00102A1D" w:rsidR="00640986" w:rsidP="00102A1D" w:rsidRDefault="00640986" w14:paraId="2A4738DE" w14:textId="78E464B7">
            <w:pPr>
              <w:jc w:val="center"/>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X</w:t>
            </w:r>
          </w:p>
        </w:tc>
        <w:tc>
          <w:tcPr>
            <w:tcW w:w="1441" w:type="dxa"/>
          </w:tcPr>
          <w:p w:rsidR="003953E7" w:rsidP="00102A1D" w:rsidRDefault="003953E7" w14:paraId="3C7AC2E8" w14:textId="77777777">
            <w:pPr>
              <w:jc w:val="center"/>
              <w:cnfStyle w:val="000000100000" w:firstRow="0" w:lastRow="0" w:firstColumn="0" w:lastColumn="0" w:oddVBand="0" w:evenVBand="0" w:oddHBand="1" w:evenHBand="0" w:firstRowFirstColumn="0" w:firstRowLastColumn="0" w:lastRowFirstColumn="0" w:lastRowLastColumn="0"/>
              <w:rPr>
                <w:noProof/>
                <w:sz w:val="24"/>
                <w:szCs w:val="24"/>
              </w:rPr>
            </w:pPr>
          </w:p>
          <w:p w:rsidRPr="00102A1D" w:rsidR="00640986" w:rsidP="003953E7" w:rsidRDefault="009E63A9" w14:paraId="6EBB236C" w14:textId="7B18A33C">
            <w:pPr>
              <w:jc w:val="center"/>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X</w:t>
            </w:r>
          </w:p>
        </w:tc>
        <w:tc>
          <w:tcPr>
            <w:tcW w:w="1467" w:type="dxa"/>
            <w:vAlign w:val="center"/>
          </w:tcPr>
          <w:p w:rsidRPr="00102A1D" w:rsidR="00640986" w:rsidP="00102A1D" w:rsidRDefault="00640986" w14:paraId="095D54EC" w14:textId="22068222">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426" w:type="dxa"/>
            <w:vAlign w:val="center"/>
          </w:tcPr>
          <w:p w:rsidRPr="00102A1D" w:rsidR="00640986" w:rsidP="00102A1D" w:rsidRDefault="00640986" w14:paraId="5C8FA505" w14:textId="77777777">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624" w:type="dxa"/>
            <w:gridSpan w:val="2"/>
            <w:vAlign w:val="center"/>
          </w:tcPr>
          <w:p w:rsidRPr="00102A1D" w:rsidR="00640986" w:rsidP="00102A1D" w:rsidRDefault="00640986" w14:paraId="0DBA8F01" w14:textId="77777777">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r>
      <w:tr w:rsidR="00640986" w:rsidTr="00A423F6" w14:paraId="665D4B5C" w14:textId="77777777">
        <w:trPr>
          <w:trHeight w:val="292"/>
        </w:trPr>
        <w:tc>
          <w:tcPr>
            <w:cnfStyle w:val="001000000000" w:firstRow="0" w:lastRow="0" w:firstColumn="1" w:lastColumn="0" w:oddVBand="0" w:evenVBand="0" w:oddHBand="0" w:evenHBand="0" w:firstRowFirstColumn="0" w:firstRowLastColumn="0" w:lastRowFirstColumn="0" w:lastRowLastColumn="0"/>
            <w:tcW w:w="3279" w:type="dxa"/>
          </w:tcPr>
          <w:p w:rsidRPr="00102A1D" w:rsidR="00640986" w:rsidP="00102A1D" w:rsidRDefault="00640986" w14:paraId="4B4A5D4A" w14:textId="3D9B65DF">
            <w:pPr>
              <w:pStyle w:val="ListParagraph"/>
              <w:ind w:left="306"/>
              <w:jc w:val="left"/>
              <w:rPr>
                <w:b w:val="0"/>
                <w:bCs w:val="0"/>
                <w:noProof/>
                <w:sz w:val="24"/>
                <w:szCs w:val="24"/>
              </w:rPr>
            </w:pPr>
            <w:r>
              <w:rPr>
                <w:b w:val="0"/>
                <w:bCs w:val="0"/>
                <w:noProof/>
                <w:sz w:val="24"/>
                <w:szCs w:val="24"/>
              </w:rPr>
              <w:t>… no direct equivalent in Suffolk</w:t>
            </w:r>
          </w:p>
        </w:tc>
        <w:tc>
          <w:tcPr>
            <w:tcW w:w="1628" w:type="dxa"/>
            <w:vAlign w:val="center"/>
          </w:tcPr>
          <w:p w:rsidRPr="00102A1D" w:rsidR="00640986" w:rsidP="00102A1D" w:rsidRDefault="00640986" w14:paraId="7EE9B2D3" w14:textId="639B94E3">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533" w:type="dxa"/>
            <w:vAlign w:val="center"/>
          </w:tcPr>
          <w:p w:rsidRPr="00102A1D" w:rsidR="00640986" w:rsidP="00102A1D" w:rsidRDefault="00640986" w14:paraId="667E4BC6" w14:textId="77777777">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470" w:type="dxa"/>
            <w:vAlign w:val="center"/>
          </w:tcPr>
          <w:p w:rsidRPr="00102A1D" w:rsidR="00640986" w:rsidP="00102A1D" w:rsidRDefault="00640986" w14:paraId="162DE657" w14:textId="06B005B8">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520" w:type="dxa"/>
            <w:vAlign w:val="center"/>
          </w:tcPr>
          <w:p w:rsidRPr="00102A1D" w:rsidR="00640986" w:rsidP="00102A1D" w:rsidRDefault="00640986" w14:paraId="79EA514C" w14:textId="758987CE">
            <w:pPr>
              <w:jc w:val="center"/>
              <w:cnfStyle w:val="000000000000" w:firstRow="0" w:lastRow="0" w:firstColumn="0" w:lastColumn="0" w:oddVBand="0" w:evenVBand="0" w:oddHBand="0" w:evenHBand="0" w:firstRowFirstColumn="0" w:firstRowLastColumn="0" w:lastRowFirstColumn="0" w:lastRowLastColumn="0"/>
              <w:rPr>
                <w:noProof/>
                <w:sz w:val="24"/>
                <w:szCs w:val="24"/>
              </w:rPr>
            </w:pPr>
            <w:r w:rsidRPr="00102A1D">
              <w:rPr>
                <w:noProof/>
                <w:sz w:val="24"/>
                <w:szCs w:val="24"/>
              </w:rPr>
              <w:t>X</w:t>
            </w:r>
          </w:p>
        </w:tc>
        <w:tc>
          <w:tcPr>
            <w:tcW w:w="1441" w:type="dxa"/>
          </w:tcPr>
          <w:p w:rsidRPr="00102A1D" w:rsidR="00640986" w:rsidP="002A6E19" w:rsidRDefault="009E63A9" w14:paraId="734F156B" w14:textId="04EC937B">
            <w:pPr>
              <w:jc w:val="center"/>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X</w:t>
            </w:r>
          </w:p>
        </w:tc>
        <w:tc>
          <w:tcPr>
            <w:tcW w:w="1467" w:type="dxa"/>
            <w:vAlign w:val="center"/>
          </w:tcPr>
          <w:p w:rsidRPr="00102A1D" w:rsidR="00640986" w:rsidP="00102A1D" w:rsidRDefault="00640986" w14:paraId="2D3DCB91" w14:textId="70E098B4">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426" w:type="dxa"/>
            <w:vAlign w:val="center"/>
          </w:tcPr>
          <w:p w:rsidRPr="00102A1D" w:rsidR="00640986" w:rsidP="00102A1D" w:rsidRDefault="00640986" w14:paraId="36B7565D" w14:textId="44636E31">
            <w:pPr>
              <w:jc w:val="center"/>
              <w:cnfStyle w:val="000000000000" w:firstRow="0" w:lastRow="0" w:firstColumn="0" w:lastColumn="0" w:oddVBand="0" w:evenVBand="0" w:oddHBand="0" w:evenHBand="0" w:firstRowFirstColumn="0" w:firstRowLastColumn="0" w:lastRowFirstColumn="0" w:lastRowLastColumn="0"/>
              <w:rPr>
                <w:noProof/>
                <w:sz w:val="24"/>
                <w:szCs w:val="24"/>
              </w:rPr>
            </w:pPr>
            <w:r w:rsidRPr="00102A1D">
              <w:rPr>
                <w:noProof/>
                <w:sz w:val="24"/>
                <w:szCs w:val="24"/>
              </w:rPr>
              <w:t>X</w:t>
            </w:r>
          </w:p>
        </w:tc>
        <w:tc>
          <w:tcPr>
            <w:tcW w:w="1624" w:type="dxa"/>
            <w:gridSpan w:val="2"/>
            <w:vAlign w:val="center"/>
          </w:tcPr>
          <w:p w:rsidRPr="00102A1D" w:rsidR="00640986" w:rsidP="00102A1D" w:rsidRDefault="00640986" w14:paraId="3278FBB6" w14:textId="77777777">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r>
      <w:tr w:rsidR="000B5207" w:rsidTr="00117175" w14:paraId="47D184FC" w14:textId="7777777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279" w:type="dxa"/>
          </w:tcPr>
          <w:p w:rsidRPr="00102A1D" w:rsidR="000B5207" w:rsidP="00102A1D" w:rsidRDefault="000B5207" w14:paraId="59CDCFB4" w14:textId="3483B3DE">
            <w:pPr>
              <w:pStyle w:val="ListParagraph"/>
              <w:numPr>
                <w:ilvl w:val="0"/>
                <w:numId w:val="12"/>
              </w:numPr>
              <w:ind w:left="306" w:hanging="284"/>
              <w:jc w:val="left"/>
              <w:rPr>
                <w:b w:val="0"/>
                <w:bCs w:val="0"/>
                <w:noProof/>
                <w:sz w:val="24"/>
                <w:szCs w:val="24"/>
              </w:rPr>
            </w:pPr>
            <w:r w:rsidRPr="008235DA">
              <w:rPr>
                <w:noProof/>
                <w:sz w:val="24"/>
                <w:szCs w:val="24"/>
              </w:rPr>
              <w:t>Requests for independent</w:t>
            </w:r>
            <w:r>
              <w:rPr>
                <w:noProof/>
                <w:sz w:val="24"/>
                <w:szCs w:val="24"/>
              </w:rPr>
              <w:t>/out of county</w:t>
            </w:r>
            <w:r w:rsidRPr="008235DA">
              <w:rPr>
                <w:noProof/>
                <w:sz w:val="24"/>
                <w:szCs w:val="24"/>
              </w:rPr>
              <w:t xml:space="preserve"> sector placements</w:t>
            </w:r>
          </w:p>
        </w:tc>
        <w:tc>
          <w:tcPr>
            <w:tcW w:w="10512" w:type="dxa"/>
            <w:gridSpan w:val="8"/>
          </w:tcPr>
          <w:p w:rsidRPr="00102A1D" w:rsidR="000B5207" w:rsidP="00102A1D" w:rsidRDefault="000B5207" w14:paraId="039A00AB" w14:textId="0BF37118">
            <w:pPr>
              <w:jc w:val="center"/>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 xml:space="preserve">County Independent Placement Panel   </w:t>
            </w:r>
          </w:p>
        </w:tc>
        <w:tc>
          <w:tcPr>
            <w:tcW w:w="1597" w:type="dxa"/>
            <w:vAlign w:val="center"/>
          </w:tcPr>
          <w:p w:rsidRPr="00102A1D" w:rsidR="000B5207" w:rsidP="00102A1D" w:rsidRDefault="000B5207" w14:paraId="50898C20" w14:textId="058EEE94">
            <w:pPr>
              <w:jc w:val="center"/>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X</w:t>
            </w:r>
          </w:p>
        </w:tc>
      </w:tr>
      <w:tr w:rsidR="000B5207" w:rsidTr="00AF4E00" w14:paraId="562D6673" w14:textId="77777777">
        <w:trPr>
          <w:trHeight w:val="292"/>
        </w:trPr>
        <w:tc>
          <w:tcPr>
            <w:cnfStyle w:val="001000000000" w:firstRow="0" w:lastRow="0" w:firstColumn="1" w:lastColumn="0" w:oddVBand="0" w:evenVBand="0" w:oddHBand="0" w:evenHBand="0" w:firstRowFirstColumn="0" w:firstRowLastColumn="0" w:lastRowFirstColumn="0" w:lastRowLastColumn="0"/>
            <w:tcW w:w="3279" w:type="dxa"/>
          </w:tcPr>
          <w:p w:rsidRPr="008235DA" w:rsidR="000B5207" w:rsidP="00102A1D" w:rsidRDefault="000B5207" w14:paraId="5A119E63" w14:textId="3F05CBCE">
            <w:pPr>
              <w:pStyle w:val="ListParagraph"/>
              <w:numPr>
                <w:ilvl w:val="0"/>
                <w:numId w:val="12"/>
              </w:numPr>
              <w:ind w:left="306" w:hanging="284"/>
              <w:jc w:val="left"/>
              <w:rPr>
                <w:noProof/>
                <w:sz w:val="24"/>
                <w:szCs w:val="24"/>
              </w:rPr>
            </w:pPr>
            <w:r>
              <w:rPr>
                <w:noProof/>
                <w:sz w:val="24"/>
                <w:szCs w:val="24"/>
              </w:rPr>
              <w:t xml:space="preserve">Tribunal decisions </w:t>
            </w:r>
          </w:p>
        </w:tc>
        <w:tc>
          <w:tcPr>
            <w:tcW w:w="10512" w:type="dxa"/>
            <w:gridSpan w:val="8"/>
          </w:tcPr>
          <w:p w:rsidR="000B5207" w:rsidP="00102A1D" w:rsidRDefault="000B5207" w14:paraId="2E38F448" w14:textId="4611D2F9">
            <w:pPr>
              <w:jc w:val="center"/>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 xml:space="preserve">Head of Service, Family Service Manager to be ratified at appropriate panel        </w:t>
            </w:r>
          </w:p>
        </w:tc>
        <w:tc>
          <w:tcPr>
            <w:tcW w:w="1597" w:type="dxa"/>
            <w:vAlign w:val="center"/>
          </w:tcPr>
          <w:p w:rsidR="000B5207" w:rsidP="00102A1D" w:rsidRDefault="000B5207" w14:paraId="5A003CE8" w14:textId="5F9A65B7">
            <w:pPr>
              <w:jc w:val="center"/>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X</w:t>
            </w:r>
          </w:p>
        </w:tc>
      </w:tr>
    </w:tbl>
    <w:p w:rsidR="00836E6B" w:rsidP="00AA57FB" w:rsidRDefault="00836E6B" w14:paraId="2F172E4A" w14:textId="77777777">
      <w:pPr>
        <w:pStyle w:val="Heading1"/>
      </w:pPr>
    </w:p>
    <w:p w:rsidR="00AA57FB" w:rsidP="00AA57FB" w:rsidRDefault="00EA5A31" w14:paraId="3BF22147" w14:textId="17F863BE">
      <w:pPr>
        <w:pStyle w:val="Heading1"/>
      </w:pPr>
      <w:r>
        <w:t>Delegation of decision-making responsibilities</w:t>
      </w:r>
    </w:p>
    <w:p w:rsidR="00AA57FB" w:rsidP="00AA57FB" w:rsidRDefault="00EA5A31" w14:paraId="52F36B32" w14:textId="38045985">
      <w:pPr>
        <w:pStyle w:val="Heading2"/>
      </w:pPr>
      <w:r>
        <w:t>In detail</w:t>
      </w:r>
    </w:p>
    <w:tbl>
      <w:tblPr>
        <w:tblStyle w:val="TableGrid"/>
        <w:tblW w:w="0" w:type="auto"/>
        <w:tblLook w:val="04A0" w:firstRow="1" w:lastRow="0" w:firstColumn="1" w:lastColumn="0" w:noHBand="0" w:noVBand="1"/>
      </w:tblPr>
      <w:tblGrid>
        <w:gridCol w:w="2361"/>
        <w:gridCol w:w="1725"/>
        <w:gridCol w:w="5434"/>
        <w:gridCol w:w="2947"/>
        <w:gridCol w:w="2921"/>
      </w:tblGrid>
      <w:tr w:rsidR="00AA756F" w:rsidTr="00BE033F" w14:paraId="26E9D3E9" w14:textId="77777777">
        <w:tc>
          <w:tcPr>
            <w:tcW w:w="2361" w:type="dxa"/>
            <w:shd w:val="clear" w:color="auto" w:fill="7F7F7F" w:themeFill="text1" w:themeFillTint="80"/>
            <w:vAlign w:val="center"/>
          </w:tcPr>
          <w:p w:rsidRPr="00383C28" w:rsidR="00AA756F" w:rsidP="00383C28" w:rsidRDefault="00AA756F" w14:paraId="6B5128CD" w14:textId="60B734FE">
            <w:pPr>
              <w:spacing w:after="160"/>
              <w:jc w:val="center"/>
              <w:rPr>
                <w:b/>
                <w:bCs/>
                <w:color w:val="FFFFFF" w:themeColor="background1"/>
                <w:sz w:val="24"/>
                <w:szCs w:val="24"/>
              </w:rPr>
            </w:pPr>
            <w:r w:rsidRPr="00383C28">
              <w:rPr>
                <w:b/>
                <w:bCs/>
                <w:color w:val="FFFFFF" w:themeColor="background1"/>
                <w:sz w:val="24"/>
                <w:szCs w:val="24"/>
              </w:rPr>
              <w:t>Officer (and Panel where decisions taken through a Panel chaired by the Officer)</w:t>
            </w:r>
          </w:p>
        </w:tc>
        <w:tc>
          <w:tcPr>
            <w:tcW w:w="1725" w:type="dxa"/>
            <w:shd w:val="clear" w:color="auto" w:fill="7F7F7F" w:themeFill="text1" w:themeFillTint="80"/>
            <w:vAlign w:val="center"/>
          </w:tcPr>
          <w:p w:rsidRPr="00383C28" w:rsidR="00AA756F" w:rsidP="00383C28" w:rsidRDefault="00AA756F" w14:paraId="23973C42" w14:textId="1D1641A7">
            <w:pPr>
              <w:spacing w:after="160"/>
              <w:jc w:val="center"/>
              <w:rPr>
                <w:b/>
                <w:bCs/>
                <w:color w:val="FFFFFF" w:themeColor="background1"/>
                <w:sz w:val="24"/>
                <w:szCs w:val="24"/>
              </w:rPr>
            </w:pPr>
            <w:r w:rsidRPr="00383C28">
              <w:rPr>
                <w:b/>
                <w:bCs/>
                <w:color w:val="FFFFFF" w:themeColor="background1"/>
                <w:sz w:val="24"/>
                <w:szCs w:val="24"/>
              </w:rPr>
              <w:t>Frequency of decision-making</w:t>
            </w:r>
          </w:p>
        </w:tc>
        <w:tc>
          <w:tcPr>
            <w:tcW w:w="5434" w:type="dxa"/>
            <w:shd w:val="clear" w:color="auto" w:fill="7F7F7F" w:themeFill="text1" w:themeFillTint="80"/>
            <w:vAlign w:val="center"/>
          </w:tcPr>
          <w:p w:rsidRPr="00383C28" w:rsidR="00AA756F" w:rsidP="00383C28" w:rsidRDefault="00AA756F" w14:paraId="7BEF6625" w14:textId="5919E66B">
            <w:pPr>
              <w:spacing w:after="160"/>
              <w:jc w:val="center"/>
              <w:rPr>
                <w:b/>
                <w:bCs/>
                <w:color w:val="FFFFFF" w:themeColor="background1"/>
                <w:sz w:val="24"/>
                <w:szCs w:val="24"/>
              </w:rPr>
            </w:pPr>
            <w:r w:rsidRPr="00383C28">
              <w:rPr>
                <w:b/>
                <w:bCs/>
                <w:color w:val="FFFFFF" w:themeColor="background1"/>
                <w:sz w:val="24"/>
                <w:szCs w:val="24"/>
              </w:rPr>
              <w:t>Level of decision-making</w:t>
            </w:r>
          </w:p>
        </w:tc>
        <w:tc>
          <w:tcPr>
            <w:tcW w:w="2947" w:type="dxa"/>
            <w:shd w:val="clear" w:color="auto" w:fill="7F7F7F" w:themeFill="text1" w:themeFillTint="80"/>
            <w:vAlign w:val="center"/>
          </w:tcPr>
          <w:p w:rsidRPr="00383C28" w:rsidR="00AA756F" w:rsidP="00383C28" w:rsidRDefault="00AA756F" w14:paraId="1D1CE0F2" w14:textId="77777777">
            <w:pPr>
              <w:spacing w:after="160"/>
              <w:jc w:val="center"/>
              <w:rPr>
                <w:color w:val="FFFFFF" w:themeColor="background1"/>
                <w:sz w:val="24"/>
                <w:szCs w:val="24"/>
              </w:rPr>
            </w:pPr>
            <w:r w:rsidRPr="00383C28">
              <w:rPr>
                <w:b/>
                <w:bCs/>
                <w:color w:val="FFFFFF" w:themeColor="background1"/>
                <w:sz w:val="24"/>
                <w:szCs w:val="24"/>
              </w:rPr>
              <w:t>Recording and communication of decisions</w:t>
            </w:r>
          </w:p>
          <w:p w:rsidRPr="00383C28" w:rsidR="00267175" w:rsidP="00383C28" w:rsidRDefault="00267175" w14:paraId="2A2EA629" w14:textId="0E972CF0">
            <w:pPr>
              <w:spacing w:after="160"/>
              <w:jc w:val="center"/>
              <w:rPr>
                <w:color w:val="FFFFFF" w:themeColor="background1"/>
                <w:sz w:val="24"/>
                <w:szCs w:val="24"/>
              </w:rPr>
            </w:pPr>
          </w:p>
        </w:tc>
        <w:tc>
          <w:tcPr>
            <w:tcW w:w="2921" w:type="dxa"/>
            <w:shd w:val="clear" w:color="auto" w:fill="7F7F7F" w:themeFill="text1" w:themeFillTint="80"/>
            <w:vAlign w:val="center"/>
          </w:tcPr>
          <w:p w:rsidRPr="00383C28" w:rsidR="00AA756F" w:rsidP="00383C28" w:rsidRDefault="00AA756F" w14:paraId="5AA92B2A" w14:textId="4190C267">
            <w:pPr>
              <w:spacing w:after="160"/>
              <w:jc w:val="center"/>
              <w:rPr>
                <w:b/>
                <w:bCs/>
                <w:color w:val="FFFFFF" w:themeColor="background1"/>
                <w:sz w:val="24"/>
                <w:szCs w:val="24"/>
              </w:rPr>
            </w:pPr>
            <w:r w:rsidRPr="00383C28">
              <w:rPr>
                <w:b/>
                <w:bCs/>
                <w:color w:val="FFFFFF" w:themeColor="background1"/>
                <w:sz w:val="24"/>
                <w:szCs w:val="24"/>
              </w:rPr>
              <w:t xml:space="preserve">Escalation, </w:t>
            </w:r>
            <w:proofErr w:type="gramStart"/>
            <w:r w:rsidRPr="00383C28">
              <w:rPr>
                <w:b/>
                <w:bCs/>
                <w:color w:val="FFFFFF" w:themeColor="background1"/>
                <w:sz w:val="24"/>
                <w:szCs w:val="24"/>
              </w:rPr>
              <w:t>review</w:t>
            </w:r>
            <w:proofErr w:type="gramEnd"/>
            <w:r w:rsidRPr="00383C28">
              <w:rPr>
                <w:b/>
                <w:bCs/>
                <w:color w:val="FFFFFF" w:themeColor="background1"/>
                <w:sz w:val="24"/>
                <w:szCs w:val="24"/>
              </w:rPr>
              <w:t xml:space="preserve"> or QA of decision-making</w:t>
            </w:r>
          </w:p>
        </w:tc>
      </w:tr>
      <w:tr w:rsidR="00AA756F" w:rsidTr="00BE033F" w14:paraId="6AFA841F" w14:textId="77777777">
        <w:tc>
          <w:tcPr>
            <w:tcW w:w="2361" w:type="dxa"/>
            <w:shd w:val="clear" w:color="auto" w:fill="F2F2F2" w:themeFill="background1" w:themeFillShade="F2"/>
          </w:tcPr>
          <w:p w:rsidRPr="006466CB" w:rsidR="00AA756F" w:rsidP="006466CB" w:rsidRDefault="006C3A71" w14:paraId="1A0C813C" w14:textId="1E64CFBE">
            <w:pPr>
              <w:spacing w:after="160"/>
              <w:jc w:val="left"/>
              <w:rPr>
                <w:b/>
                <w:bCs/>
              </w:rPr>
            </w:pPr>
            <w:r>
              <w:rPr>
                <w:b/>
                <w:bCs/>
              </w:rPr>
              <w:t>Assistant Coordinators</w:t>
            </w:r>
            <w:r w:rsidR="00D87631">
              <w:rPr>
                <w:b/>
                <w:bCs/>
              </w:rPr>
              <w:t xml:space="preserve"> and Coordinators</w:t>
            </w:r>
          </w:p>
        </w:tc>
        <w:tc>
          <w:tcPr>
            <w:tcW w:w="1725" w:type="dxa"/>
          </w:tcPr>
          <w:p w:rsidR="00AA756F" w:rsidP="006466CB" w:rsidRDefault="00EA0D97" w14:paraId="6CC6977D" w14:textId="3D0B15E7">
            <w:pPr>
              <w:spacing w:after="160"/>
              <w:jc w:val="left"/>
            </w:pPr>
            <w:r>
              <w:t>Ongoing (to meet statutory timescales)</w:t>
            </w:r>
          </w:p>
        </w:tc>
        <w:tc>
          <w:tcPr>
            <w:tcW w:w="5434" w:type="dxa"/>
          </w:tcPr>
          <w:p w:rsidRPr="00666BDD" w:rsidR="00666BDD" w:rsidP="006466CB" w:rsidRDefault="00666BDD" w14:paraId="49462297" w14:textId="7394F0FD">
            <w:pPr>
              <w:spacing w:after="160"/>
              <w:jc w:val="left"/>
              <w:rPr>
                <w:u w:val="single"/>
              </w:rPr>
            </w:pPr>
            <w:r>
              <w:rPr>
                <w:u w:val="single"/>
              </w:rPr>
              <w:t>Requests for statutory assessment</w:t>
            </w:r>
          </w:p>
          <w:p w:rsidR="00327A8A" w:rsidP="006466CB" w:rsidRDefault="007340CB" w14:paraId="1570EAA3" w14:textId="2DC4EB01">
            <w:pPr>
              <w:spacing w:after="160"/>
              <w:jc w:val="left"/>
            </w:pPr>
            <w:r>
              <w:t>To co-ordinate the EHC needs assessments.</w:t>
            </w:r>
          </w:p>
          <w:p w:rsidR="00327A8A" w:rsidP="006466CB" w:rsidRDefault="00327A8A" w14:paraId="76785E26" w14:textId="34A22AF9">
            <w:pPr>
              <w:spacing w:after="160"/>
              <w:jc w:val="left"/>
            </w:pPr>
            <w:r>
              <w:t xml:space="preserve">To </w:t>
            </w:r>
            <w:r w:rsidR="00AB5607">
              <w:t xml:space="preserve">make a recommendation as to whether information provided is complete enough to be presented at </w:t>
            </w:r>
            <w:r w:rsidR="00403BFF">
              <w:t>Education Health &amp; Care Needs Assessment Panel</w:t>
            </w:r>
          </w:p>
          <w:p w:rsidRPr="00666BDD" w:rsidR="00666BDD" w:rsidP="006466CB" w:rsidRDefault="00666BDD" w14:paraId="515291EF" w14:textId="52D5FC11">
            <w:pPr>
              <w:spacing w:after="160"/>
              <w:jc w:val="left"/>
              <w:rPr>
                <w:u w:val="single"/>
              </w:rPr>
            </w:pPr>
            <w:r w:rsidRPr="00666BDD">
              <w:rPr>
                <w:u w:val="single"/>
              </w:rPr>
              <w:t>New EHCPs</w:t>
            </w:r>
          </w:p>
          <w:p w:rsidR="007340CB" w:rsidP="006466CB" w:rsidRDefault="007340CB" w14:paraId="098A5B80" w14:textId="33EE201C">
            <w:pPr>
              <w:spacing w:after="160"/>
              <w:jc w:val="left"/>
            </w:pPr>
            <w:r>
              <w:t>To prepare Needs Assessment Reports.</w:t>
            </w:r>
          </w:p>
          <w:p w:rsidR="007340CB" w:rsidP="006466CB" w:rsidRDefault="007340CB" w14:paraId="413F050A" w14:textId="7CAA2FFB">
            <w:pPr>
              <w:spacing w:after="160"/>
              <w:jc w:val="left"/>
            </w:pPr>
            <w:r>
              <w:t>To prepare draft EHCPs.</w:t>
            </w:r>
          </w:p>
          <w:p w:rsidR="00AB5607" w:rsidP="006466CB" w:rsidRDefault="00AB5607" w14:paraId="27FFAD04" w14:textId="6462982B">
            <w:pPr>
              <w:spacing w:after="160"/>
              <w:jc w:val="left"/>
            </w:pPr>
            <w:r>
              <w:t>To make a recommendation as to whether information provided is complete enough to be presented at Area EHCP Panel</w:t>
            </w:r>
          </w:p>
          <w:p w:rsidRPr="00666BDD" w:rsidR="00666BDD" w:rsidP="006466CB" w:rsidRDefault="00666BDD" w14:paraId="426AEE88" w14:textId="32610594">
            <w:pPr>
              <w:spacing w:after="160"/>
              <w:jc w:val="left"/>
              <w:rPr>
                <w:u w:val="single"/>
              </w:rPr>
            </w:pPr>
            <w:r w:rsidRPr="00666BDD">
              <w:rPr>
                <w:u w:val="single"/>
              </w:rPr>
              <w:t>Existing EHCPs</w:t>
            </w:r>
          </w:p>
          <w:p w:rsidR="00C115D5" w:rsidP="006466CB" w:rsidRDefault="00666BDD" w14:paraId="1F0D9048" w14:textId="77777777">
            <w:pPr>
              <w:spacing w:after="160"/>
              <w:jc w:val="left"/>
            </w:pPr>
            <w:r>
              <w:t xml:space="preserve">To consider </w:t>
            </w:r>
            <w:r w:rsidR="00852B8D">
              <w:t xml:space="preserve">annual review reports from settings, </w:t>
            </w:r>
            <w:proofErr w:type="gramStart"/>
            <w:r w:rsidR="00852B8D">
              <w:t>schools</w:t>
            </w:r>
            <w:proofErr w:type="gramEnd"/>
            <w:r w:rsidR="00852B8D">
              <w:t xml:space="preserve"> and colleges.</w:t>
            </w:r>
          </w:p>
          <w:p w:rsidR="007D22D5" w:rsidP="006466CB" w:rsidRDefault="007D22D5" w14:paraId="6A6E150F" w14:textId="77777777">
            <w:pPr>
              <w:spacing w:after="160"/>
              <w:jc w:val="left"/>
            </w:pPr>
            <w:r>
              <w:t xml:space="preserve">Where there is </w:t>
            </w:r>
            <w:r w:rsidR="008F0C95">
              <w:t>“no change” recommended</w:t>
            </w:r>
            <w:r>
              <w:t>,</w:t>
            </w:r>
            <w:r w:rsidR="0044015F">
              <w:t xml:space="preserve"> to decide whether to </w:t>
            </w:r>
            <w:r w:rsidR="00DD2357">
              <w:t>agree with that recommendation.</w:t>
            </w:r>
          </w:p>
          <w:p w:rsidR="007D22D5" w:rsidP="006466CB" w:rsidRDefault="007D22D5" w14:paraId="2F225015" w14:textId="1E652F22">
            <w:pPr>
              <w:spacing w:after="160"/>
              <w:jc w:val="left"/>
            </w:pPr>
            <w:r>
              <w:lastRenderedPageBreak/>
              <w:t xml:space="preserve">To agree to amendments that would not require any changes in the allocation of resources </w:t>
            </w:r>
            <w:r w:rsidR="00506596">
              <w:t>–</w:t>
            </w:r>
            <w:r>
              <w:t xml:space="preserve"> </w:t>
            </w:r>
            <w:r w:rsidR="00506596">
              <w:t>for example, updating the EHCP so that it accurately reflects the young person’s assessed needs, required provision, targets and outcomes.</w:t>
            </w:r>
          </w:p>
          <w:p w:rsidR="00666BDD" w:rsidP="006466CB" w:rsidRDefault="000609DF" w14:paraId="1EACCA30" w14:textId="77777777">
            <w:pPr>
              <w:spacing w:after="160"/>
              <w:jc w:val="left"/>
            </w:pPr>
            <w:r>
              <w:t>W</w:t>
            </w:r>
            <w:r w:rsidR="00DD2357">
              <w:t xml:space="preserve">here the recommendation from the setting / school or the judgement of the </w:t>
            </w:r>
            <w:r w:rsidR="003A3301">
              <w:t>Family Services Lead Coo</w:t>
            </w:r>
            <w:r w:rsidR="008D1708">
              <w:t>rdinator</w:t>
            </w:r>
            <w:r w:rsidR="00DD2357">
              <w:t xml:space="preserve"> themselves is that </w:t>
            </w:r>
            <w:r w:rsidR="008370A9">
              <w:t>a</w:t>
            </w:r>
            <w:r>
              <w:t xml:space="preserve"> more significant</w:t>
            </w:r>
            <w:r w:rsidR="008370A9">
              <w:t xml:space="preserve"> </w:t>
            </w:r>
            <w:r w:rsidR="00DD2357">
              <w:t xml:space="preserve">change </w:t>
            </w:r>
            <w:r w:rsidR="008370A9">
              <w:t xml:space="preserve">to the EHCP is required or </w:t>
            </w:r>
            <w:r w:rsidR="00133FE3">
              <w:t xml:space="preserve">the </w:t>
            </w:r>
            <w:r w:rsidR="008370A9">
              <w:t>EHCP</w:t>
            </w:r>
            <w:r w:rsidR="00133FE3">
              <w:t xml:space="preserve"> may need to be ceased</w:t>
            </w:r>
            <w:r w:rsidR="008370A9">
              <w:t xml:space="preserve">, to refer those </w:t>
            </w:r>
            <w:r w:rsidR="00976F08">
              <w:t xml:space="preserve">cases to the chair of the </w:t>
            </w:r>
            <w:r w:rsidR="00C573AC">
              <w:t>Area EHCP Panel.</w:t>
            </w:r>
          </w:p>
          <w:p w:rsidR="009E0044" w:rsidP="006466CB" w:rsidRDefault="009E0044" w14:paraId="19AE7532" w14:textId="2509750A">
            <w:pPr>
              <w:spacing w:after="160"/>
              <w:jc w:val="left"/>
            </w:pPr>
            <w:r>
              <w:t>To hold annual reviews for children and young people who are being electively home educated.</w:t>
            </w:r>
            <w:r w:rsidR="00E06673">
              <w:t xml:space="preserve"> (Coordinators only)</w:t>
            </w:r>
          </w:p>
        </w:tc>
        <w:tc>
          <w:tcPr>
            <w:tcW w:w="2947" w:type="dxa"/>
          </w:tcPr>
          <w:p w:rsidR="00AA2A49" w:rsidP="006466CB" w:rsidRDefault="00AA2A49" w14:paraId="002A38AD" w14:textId="7432692F">
            <w:pPr>
              <w:spacing w:after="160"/>
              <w:jc w:val="left"/>
            </w:pPr>
            <w:r>
              <w:lastRenderedPageBreak/>
              <w:t xml:space="preserve">To maintain </w:t>
            </w:r>
            <w:r w:rsidR="005E2724">
              <w:t>up to date</w:t>
            </w:r>
            <w:r>
              <w:t xml:space="preserve"> notes and records of decisions reach</w:t>
            </w:r>
            <w:r w:rsidR="0045645A">
              <w:t>ed</w:t>
            </w:r>
            <w:r>
              <w:t xml:space="preserve"> and reasons for decisions.</w:t>
            </w:r>
          </w:p>
          <w:p w:rsidR="00AA756F" w:rsidP="006466CB" w:rsidRDefault="00AA2A49" w14:paraId="071136C3" w14:textId="2FA2C27E">
            <w:pPr>
              <w:spacing w:after="160"/>
              <w:jc w:val="left"/>
            </w:pPr>
            <w:r>
              <w:t xml:space="preserve">To communicate </w:t>
            </w:r>
            <w:r w:rsidR="00E523DC">
              <w:t>decisions taken regarding requests for assessments, issuing new EHCPs, and annual reviews to parents / carers, young people, and settings / schools / colleges as appropriate</w:t>
            </w:r>
            <w:r w:rsidR="008F0C95">
              <w:t xml:space="preserve">, </w:t>
            </w:r>
            <w:r w:rsidR="005C1B3A">
              <w:t>verbal communication to be followed up in</w:t>
            </w:r>
            <w:r w:rsidR="008F0C95">
              <w:t xml:space="preserve"> writing and in a timely manner.</w:t>
            </w:r>
          </w:p>
          <w:p w:rsidR="00AA2A49" w:rsidP="006466CB" w:rsidRDefault="00AA2A49" w14:paraId="54D2D076" w14:textId="1D5B69E2">
            <w:pPr>
              <w:spacing w:after="160"/>
              <w:jc w:val="left"/>
            </w:pPr>
            <w:r>
              <w:t xml:space="preserve">To alert </w:t>
            </w:r>
            <w:r w:rsidR="004A1075">
              <w:t>Lead Coordinators</w:t>
            </w:r>
            <w:r>
              <w:t xml:space="preserve"> to potential risks of placement breakdown, escalation of costs, appeals against decisions.</w:t>
            </w:r>
          </w:p>
        </w:tc>
        <w:tc>
          <w:tcPr>
            <w:tcW w:w="2921" w:type="dxa"/>
          </w:tcPr>
          <w:p w:rsidR="00AA756F" w:rsidP="006466CB" w:rsidRDefault="00E949C6" w14:paraId="36941BC7" w14:textId="5AB3135B">
            <w:pPr>
              <w:spacing w:after="160"/>
              <w:jc w:val="left"/>
            </w:pPr>
            <w:r>
              <w:t xml:space="preserve">Requests to review decisions should be escalated to the </w:t>
            </w:r>
            <w:r w:rsidR="003A3301">
              <w:t>Family Services Lead Coordinator</w:t>
            </w:r>
            <w:r>
              <w:t xml:space="preserve"> for supervision and oversight.</w:t>
            </w:r>
          </w:p>
        </w:tc>
      </w:tr>
      <w:tr w:rsidR="00AA756F" w:rsidTr="00BE033F" w14:paraId="1798FB95" w14:textId="77777777">
        <w:tc>
          <w:tcPr>
            <w:tcW w:w="2361" w:type="dxa"/>
            <w:shd w:val="clear" w:color="auto" w:fill="F2F2F2" w:themeFill="background1" w:themeFillShade="F2"/>
          </w:tcPr>
          <w:p w:rsidRPr="006466CB" w:rsidR="00AA756F" w:rsidP="006466CB" w:rsidRDefault="00F658A9" w14:paraId="3639FA30" w14:textId="2C9A0062">
            <w:pPr>
              <w:spacing w:after="160"/>
              <w:jc w:val="left"/>
              <w:rPr>
                <w:b/>
                <w:bCs/>
              </w:rPr>
            </w:pPr>
            <w:r>
              <w:rPr>
                <w:b/>
                <w:bCs/>
              </w:rPr>
              <w:t xml:space="preserve">Family Services Lead </w:t>
            </w:r>
            <w:r w:rsidR="006C3A71">
              <w:rPr>
                <w:b/>
                <w:bCs/>
              </w:rPr>
              <w:t>Coordinator</w:t>
            </w:r>
          </w:p>
        </w:tc>
        <w:tc>
          <w:tcPr>
            <w:tcW w:w="1725" w:type="dxa"/>
          </w:tcPr>
          <w:p w:rsidR="00AA756F" w:rsidP="006466CB" w:rsidRDefault="00177962" w14:paraId="16E4D475" w14:textId="0079A1A2">
            <w:pPr>
              <w:spacing w:after="160"/>
              <w:jc w:val="left"/>
            </w:pPr>
            <w:r>
              <w:t>Weekly (Panel meetings</w:t>
            </w:r>
            <w:r w:rsidR="008C201E">
              <w:t xml:space="preserve"> on a rotational basis)</w:t>
            </w:r>
          </w:p>
          <w:p w:rsidR="00177962" w:rsidP="006466CB" w:rsidRDefault="00177962" w14:paraId="693FCB97" w14:textId="78396C76">
            <w:pPr>
              <w:spacing w:after="160"/>
              <w:jc w:val="left"/>
            </w:pPr>
            <w:r>
              <w:t>Other decisions as required</w:t>
            </w:r>
          </w:p>
        </w:tc>
        <w:tc>
          <w:tcPr>
            <w:tcW w:w="5434" w:type="dxa"/>
          </w:tcPr>
          <w:p w:rsidRPr="00176829" w:rsidR="00AA756F" w:rsidP="006466CB" w:rsidRDefault="00EC331C" w14:paraId="2910D118" w14:textId="77777777">
            <w:pPr>
              <w:spacing w:after="160"/>
              <w:jc w:val="left"/>
              <w:rPr>
                <w:u w:val="single"/>
              </w:rPr>
            </w:pPr>
            <w:r w:rsidRPr="00176829">
              <w:rPr>
                <w:u w:val="single"/>
              </w:rPr>
              <w:t>Requests for stat</w:t>
            </w:r>
            <w:r w:rsidRPr="00176829" w:rsidR="00176829">
              <w:rPr>
                <w:u w:val="single"/>
              </w:rPr>
              <w:t>utory assessments</w:t>
            </w:r>
          </w:p>
          <w:p w:rsidR="00383C28" w:rsidP="00383C28" w:rsidRDefault="00383C28" w14:paraId="3327A9AC" w14:textId="3FACB9A6">
            <w:pPr>
              <w:spacing w:after="160"/>
              <w:jc w:val="left"/>
            </w:pPr>
            <w:r>
              <w:t xml:space="preserve">To review any decisions taken or being considered by the </w:t>
            </w:r>
            <w:r w:rsidR="006475D0">
              <w:t>Family Service Assistant Coordinators and Coordinators</w:t>
            </w:r>
            <w:r>
              <w:t xml:space="preserve"> that have been raised through the escalation process.</w:t>
            </w:r>
          </w:p>
          <w:p w:rsidRPr="00737726" w:rsidR="00737726" w:rsidP="006466CB" w:rsidRDefault="00737726" w14:paraId="4682AE37" w14:textId="4D21BF5B">
            <w:pPr>
              <w:spacing w:after="160"/>
              <w:jc w:val="left"/>
              <w:rPr>
                <w:u w:val="single"/>
              </w:rPr>
            </w:pPr>
            <w:r w:rsidRPr="00737726">
              <w:rPr>
                <w:u w:val="single"/>
              </w:rPr>
              <w:t>New EHCPs</w:t>
            </w:r>
            <w:r w:rsidR="007C72F5">
              <w:rPr>
                <w:u w:val="single"/>
              </w:rPr>
              <w:t xml:space="preserve"> &amp; </w:t>
            </w:r>
            <w:r w:rsidRPr="00737726">
              <w:rPr>
                <w:u w:val="single"/>
              </w:rPr>
              <w:t>Existing EHCPs</w:t>
            </w:r>
          </w:p>
          <w:p w:rsidR="00974A3F" w:rsidP="00742EF6" w:rsidRDefault="00742EF6" w14:paraId="326FFE06" w14:textId="77777777">
            <w:pPr>
              <w:spacing w:after="160"/>
              <w:jc w:val="left"/>
            </w:pPr>
            <w:r>
              <w:t xml:space="preserve">To consider requests for changes to EHCPs through the annual review process where the changes requested are of a change of placement type (e.g., a change from </w:t>
            </w:r>
            <w:r w:rsidR="00495764">
              <w:t xml:space="preserve">a </w:t>
            </w:r>
            <w:r>
              <w:t xml:space="preserve">mainstream school to </w:t>
            </w:r>
            <w:r w:rsidR="00495764">
              <w:t>a special school</w:t>
            </w:r>
            <w:r>
              <w:t>).</w:t>
            </w:r>
            <w:r w:rsidR="00495764">
              <w:t xml:space="preserve"> </w:t>
            </w:r>
          </w:p>
          <w:p w:rsidR="00742EF6" w:rsidP="00742EF6" w:rsidRDefault="00495764" w14:paraId="0D6DC563" w14:textId="606766A8">
            <w:pPr>
              <w:spacing w:after="160"/>
              <w:jc w:val="left"/>
            </w:pPr>
            <w:r>
              <w:t xml:space="preserve">Requests for </w:t>
            </w:r>
            <w:r w:rsidR="00FD09AD">
              <w:t xml:space="preserve">placements in independent provision must be referred to the Head of </w:t>
            </w:r>
            <w:r w:rsidR="005A11E8">
              <w:t>SEND and</w:t>
            </w:r>
            <w:r w:rsidR="00FD09AD">
              <w:t xml:space="preserve"> considered through the </w:t>
            </w:r>
            <w:r w:rsidR="00C00322">
              <w:t xml:space="preserve">County </w:t>
            </w:r>
            <w:r w:rsidR="00974A3F">
              <w:t>Independent</w:t>
            </w:r>
            <w:r w:rsidR="00C00322">
              <w:t xml:space="preserve"> Placements Panel</w:t>
            </w:r>
            <w:r w:rsidR="00FD09AD">
              <w:t>.</w:t>
            </w:r>
          </w:p>
          <w:p w:rsidR="00737726" w:rsidP="00742EF6" w:rsidRDefault="00742EF6" w14:paraId="4F725CFC" w14:textId="336D80C0">
            <w:pPr>
              <w:spacing w:after="160"/>
              <w:jc w:val="left"/>
            </w:pPr>
            <w:r>
              <w:t xml:space="preserve">To consider the content of EHCPs of young people who have moved from another local area, which previously maintained the EHCP, and to agree to the </w:t>
            </w:r>
            <w:r w:rsidR="00FD09AD">
              <w:t xml:space="preserve">most </w:t>
            </w:r>
            <w:r w:rsidR="00FD09AD">
              <w:lastRenderedPageBreak/>
              <w:t xml:space="preserve">appropriate </w:t>
            </w:r>
            <w:r>
              <w:t>provision</w:t>
            </w:r>
            <w:r w:rsidR="00FD09AD">
              <w:t>, or further assessment,</w:t>
            </w:r>
            <w:r>
              <w:t xml:space="preserve"> if there is </w:t>
            </w:r>
            <w:r w:rsidR="00FD09AD">
              <w:t xml:space="preserve">not </w:t>
            </w:r>
            <w:r>
              <w:t xml:space="preserve">a straightforward or direct equivalent in </w:t>
            </w:r>
            <w:r w:rsidR="00DE6A28">
              <w:t>Suffolk</w:t>
            </w:r>
            <w:r>
              <w:t>.</w:t>
            </w:r>
          </w:p>
        </w:tc>
        <w:tc>
          <w:tcPr>
            <w:tcW w:w="2947" w:type="dxa"/>
          </w:tcPr>
          <w:p w:rsidR="00AA756F" w:rsidP="006466CB" w:rsidRDefault="00267175" w14:paraId="2AE552D4" w14:textId="77777777">
            <w:pPr>
              <w:spacing w:after="160"/>
              <w:jc w:val="left"/>
            </w:pPr>
            <w:r>
              <w:lastRenderedPageBreak/>
              <w:t>To ensure that records of decisions reached and reasons for decisions are recorded accurately, appropriately and in a timely manner.</w:t>
            </w:r>
          </w:p>
          <w:p w:rsidR="00267175" w:rsidP="006466CB" w:rsidRDefault="00267175" w14:paraId="7166166C" w14:textId="6DB08D2E">
            <w:pPr>
              <w:spacing w:after="160"/>
              <w:jc w:val="left"/>
            </w:pPr>
            <w:r>
              <w:t xml:space="preserve">To alert </w:t>
            </w:r>
            <w:r w:rsidR="00D9788E">
              <w:t>Family Services Managers</w:t>
            </w:r>
            <w:r>
              <w:t xml:space="preserve"> to potential risks of placement breakdown, escalation of costs, appeals against decisions.</w:t>
            </w:r>
          </w:p>
        </w:tc>
        <w:tc>
          <w:tcPr>
            <w:tcW w:w="2921" w:type="dxa"/>
          </w:tcPr>
          <w:p w:rsidR="00AA756F" w:rsidP="006466CB" w:rsidRDefault="009D08B1" w14:paraId="74771622" w14:textId="457905A0">
            <w:pPr>
              <w:spacing w:after="160"/>
              <w:jc w:val="left"/>
            </w:pPr>
            <w:r>
              <w:t xml:space="preserve">Requests to review decisions should be escalated to the </w:t>
            </w:r>
            <w:r w:rsidR="00D97458">
              <w:t xml:space="preserve">SEND Operational Manager </w:t>
            </w:r>
            <w:r>
              <w:t>or the Head of SEND for supervision and oversight.</w:t>
            </w:r>
          </w:p>
        </w:tc>
      </w:tr>
      <w:tr w:rsidR="00AA756F" w:rsidTr="00BE033F" w14:paraId="7DB3F557" w14:textId="77777777">
        <w:tc>
          <w:tcPr>
            <w:tcW w:w="2361" w:type="dxa"/>
            <w:shd w:val="clear" w:color="auto" w:fill="F2F2F2" w:themeFill="background1" w:themeFillShade="F2"/>
          </w:tcPr>
          <w:p w:rsidRPr="006466CB" w:rsidR="00AA756F" w:rsidP="006466CB" w:rsidRDefault="002E3774" w14:paraId="797E6CE3" w14:textId="2C3BF271">
            <w:pPr>
              <w:spacing w:after="160"/>
              <w:jc w:val="left"/>
              <w:rPr>
                <w:b/>
                <w:bCs/>
              </w:rPr>
            </w:pPr>
            <w:r>
              <w:rPr>
                <w:b/>
                <w:bCs/>
              </w:rPr>
              <w:t xml:space="preserve">SEND </w:t>
            </w:r>
            <w:r w:rsidR="006C3A71">
              <w:rPr>
                <w:b/>
                <w:bCs/>
              </w:rPr>
              <w:t>Services Managers</w:t>
            </w:r>
            <w:r w:rsidRPr="006466CB" w:rsidR="00B94482">
              <w:rPr>
                <w:b/>
                <w:bCs/>
              </w:rPr>
              <w:t xml:space="preserve"> </w:t>
            </w:r>
          </w:p>
        </w:tc>
        <w:tc>
          <w:tcPr>
            <w:tcW w:w="1725" w:type="dxa"/>
          </w:tcPr>
          <w:p w:rsidR="00AA756F" w:rsidP="006466CB" w:rsidRDefault="002E3774" w14:paraId="02244983" w14:textId="3CD516B8">
            <w:pPr>
              <w:spacing w:after="160"/>
              <w:jc w:val="left"/>
            </w:pPr>
            <w:r>
              <w:t xml:space="preserve">Weekly/Monthly panel and </w:t>
            </w:r>
            <w:proofErr w:type="gramStart"/>
            <w:r>
              <w:t>As</w:t>
            </w:r>
            <w:proofErr w:type="gramEnd"/>
            <w:r>
              <w:t xml:space="preserve"> required </w:t>
            </w:r>
          </w:p>
        </w:tc>
        <w:tc>
          <w:tcPr>
            <w:tcW w:w="5434" w:type="dxa"/>
          </w:tcPr>
          <w:p w:rsidR="00D741D0" w:rsidP="006466CB" w:rsidRDefault="0067229E" w14:paraId="5EAE40AE" w14:textId="3D8A5073">
            <w:pPr>
              <w:spacing w:after="160"/>
              <w:jc w:val="left"/>
              <w:rPr>
                <w:u w:val="single"/>
              </w:rPr>
            </w:pPr>
            <w:r w:rsidRPr="0067229E">
              <w:rPr>
                <w:u w:val="single"/>
              </w:rPr>
              <w:t>New and existing EHCPs</w:t>
            </w:r>
          </w:p>
          <w:p w:rsidR="00D52651" w:rsidP="00D741D0" w:rsidRDefault="00D741D0" w14:paraId="5B7729A7" w14:textId="16701270">
            <w:pPr>
              <w:spacing w:after="160"/>
              <w:jc w:val="left"/>
              <w:rPr>
                <w:highlight w:val="yellow"/>
              </w:rPr>
            </w:pPr>
            <w:r>
              <w:t xml:space="preserve">As chair of the </w:t>
            </w:r>
            <w:r w:rsidR="0074030D">
              <w:t>Area EHCP Panel</w:t>
            </w:r>
            <w:r>
              <w:t>, to consider and decide whether to agree to requests</w:t>
            </w:r>
            <w:r w:rsidR="00D52651">
              <w:t xml:space="preserve"> to issue an EHCP</w:t>
            </w:r>
            <w:r w:rsidR="006A7F36">
              <w:t xml:space="preserve">, </w:t>
            </w:r>
            <w:r>
              <w:t xml:space="preserve"> </w:t>
            </w:r>
          </w:p>
          <w:p w:rsidR="00C201CA" w:rsidP="00C201CA" w:rsidRDefault="00C201CA" w14:paraId="5BD76E14" w14:textId="77777777">
            <w:pPr>
              <w:spacing w:after="160"/>
              <w:jc w:val="left"/>
            </w:pPr>
            <w:r>
              <w:t xml:space="preserve">As chair of the County EHC Needs Assessment Panel, to consider requests for EHC needs assessments or re-assessments, in line with the Code of Practice and Suffolk EHCNA Guidance document </w:t>
            </w:r>
          </w:p>
          <w:p w:rsidR="00C201CA" w:rsidP="00C201CA" w:rsidRDefault="00C201CA" w14:paraId="66B66C7A" w14:textId="77777777">
            <w:pPr>
              <w:spacing w:after="160"/>
              <w:jc w:val="left"/>
              <w:rPr>
                <w:u w:val="single"/>
              </w:rPr>
            </w:pPr>
            <w:r w:rsidRPr="0067229E">
              <w:rPr>
                <w:u w:val="single"/>
              </w:rPr>
              <w:t>New and existing EHCPs</w:t>
            </w:r>
          </w:p>
          <w:p w:rsidR="00D52651" w:rsidP="00C201CA" w:rsidRDefault="00C201CA" w14:paraId="1F52D0F3" w14:textId="32BAB0BF">
            <w:pPr>
              <w:spacing w:after="160"/>
              <w:jc w:val="left"/>
              <w:rPr>
                <w:highlight w:val="yellow"/>
              </w:rPr>
            </w:pPr>
            <w:r>
              <w:t>As chair of the Area EHCP Panel, to consider and decide whether to agree to requests to issue an EHCP,</w:t>
            </w:r>
            <w:r w:rsidR="004927F6">
              <w:t xml:space="preserve"> cease an EHCP, to change placement type</w:t>
            </w:r>
            <w:r w:rsidR="00916973">
              <w:t xml:space="preserve"> and adopt EHCP from out of county as required.</w:t>
            </w:r>
          </w:p>
          <w:p w:rsidR="00D741D0" w:rsidP="00D741D0" w:rsidRDefault="00796258" w14:paraId="4B4E35F5" w14:textId="5395CEB4">
            <w:pPr>
              <w:spacing w:after="160"/>
              <w:jc w:val="left"/>
            </w:pPr>
            <w:r w:rsidRPr="00916973">
              <w:t xml:space="preserve">To agree </w:t>
            </w:r>
            <w:r w:rsidRPr="00916973" w:rsidR="00D741D0">
              <w:t>medical</w:t>
            </w:r>
            <w:r w:rsidRPr="00916973" w:rsidR="00690110">
              <w:t xml:space="preserve"> needs</w:t>
            </w:r>
            <w:r w:rsidRPr="00916973" w:rsidR="00D741D0">
              <w:t xml:space="preserve"> in consultation with the Designated Clinical Officer from the relevant</w:t>
            </w:r>
            <w:r w:rsidRPr="00916973" w:rsidR="00690110">
              <w:t xml:space="preserve"> ICB</w:t>
            </w:r>
            <w:r w:rsidR="00916973">
              <w:t>.</w:t>
            </w:r>
          </w:p>
          <w:p w:rsidR="005F6C80" w:rsidP="006466CB" w:rsidRDefault="005F6C80" w14:paraId="08924EBF" w14:textId="419AF2FB">
            <w:pPr>
              <w:spacing w:after="160"/>
              <w:jc w:val="left"/>
            </w:pPr>
            <w:r>
              <w:t>To agree suitability of placement with local specialist provision.</w:t>
            </w:r>
          </w:p>
          <w:p w:rsidR="00074C3F" w:rsidP="006466CB" w:rsidRDefault="00155912" w14:paraId="730EC5D6" w14:textId="47BC438B">
            <w:pPr>
              <w:spacing w:after="160"/>
              <w:jc w:val="left"/>
            </w:pPr>
            <w:r>
              <w:t xml:space="preserve">To act as the representative of SEND at joint-agency panels considering joint provision and funding for placements for children with EHCPs requiring input from education, </w:t>
            </w:r>
            <w:r w:rsidR="003C10F9">
              <w:t>health,</w:t>
            </w:r>
            <w:r>
              <w:t xml:space="preserve"> and care.</w:t>
            </w:r>
          </w:p>
          <w:p w:rsidR="00074C3F" w:rsidP="0032703A" w:rsidRDefault="00074C3F" w14:paraId="4524E29B" w14:textId="7A0D80AF">
            <w:pPr>
              <w:jc w:val="left"/>
            </w:pPr>
          </w:p>
        </w:tc>
        <w:tc>
          <w:tcPr>
            <w:tcW w:w="2947" w:type="dxa"/>
          </w:tcPr>
          <w:p w:rsidR="00267175" w:rsidP="00267175" w:rsidRDefault="00267175" w14:paraId="4BA1B68F" w14:textId="77777777">
            <w:pPr>
              <w:spacing w:after="160"/>
              <w:jc w:val="left"/>
            </w:pPr>
            <w:r>
              <w:t>To ensure that records of decisions reached and reasons for decisions are recorded accurately, appropriately and in a timely manner.</w:t>
            </w:r>
          </w:p>
          <w:p w:rsidR="00AA756F" w:rsidP="006466CB" w:rsidRDefault="00267175" w14:paraId="3316411C" w14:textId="2AC5F15F">
            <w:pPr>
              <w:spacing w:after="160"/>
              <w:jc w:val="left"/>
            </w:pPr>
            <w:r>
              <w:t xml:space="preserve">To alert </w:t>
            </w:r>
            <w:r w:rsidR="00D9788E">
              <w:t xml:space="preserve">SEND Operational Manager and/or Head of Service </w:t>
            </w:r>
            <w:r>
              <w:t>to potential risks of placement breakdown, escalation of costs, appeals against decisions.</w:t>
            </w:r>
          </w:p>
        </w:tc>
        <w:tc>
          <w:tcPr>
            <w:tcW w:w="2921" w:type="dxa"/>
          </w:tcPr>
          <w:p w:rsidR="00AA756F" w:rsidP="006466CB" w:rsidRDefault="00177962" w14:paraId="559A727B" w14:textId="77777777">
            <w:pPr>
              <w:spacing w:after="160"/>
              <w:jc w:val="left"/>
            </w:pPr>
            <w:r>
              <w:t xml:space="preserve">Requests to review decisions should be escalated to the </w:t>
            </w:r>
            <w:r w:rsidR="0032703A">
              <w:t>Head of SEND</w:t>
            </w:r>
            <w:r>
              <w:t>.</w:t>
            </w:r>
          </w:p>
          <w:p w:rsidR="00941449" w:rsidP="006466CB" w:rsidRDefault="00941449" w14:paraId="77CC8FC2" w14:textId="58D3BA40">
            <w:pPr>
              <w:spacing w:after="160"/>
              <w:jc w:val="left"/>
            </w:pPr>
            <w:r>
              <w:t xml:space="preserve">As chair of the Area EHCP Panel, </w:t>
            </w:r>
            <w:r w:rsidR="003648F2">
              <w:t>to refer cases where independent provision may be required to the chair of the County Independent Placement Panel</w:t>
            </w:r>
          </w:p>
        </w:tc>
      </w:tr>
      <w:tr w:rsidR="00EB2B32" w:rsidTr="00BE033F" w14:paraId="06B360A7" w14:textId="77777777">
        <w:tc>
          <w:tcPr>
            <w:tcW w:w="2361" w:type="dxa"/>
            <w:shd w:val="clear" w:color="auto" w:fill="F2F2F2" w:themeFill="background1" w:themeFillShade="F2"/>
          </w:tcPr>
          <w:p w:rsidRPr="006466CB" w:rsidR="00EB2B32" w:rsidP="006466CB" w:rsidRDefault="00EB2B32" w14:paraId="74F196E8" w14:textId="071A3250">
            <w:pPr>
              <w:jc w:val="left"/>
              <w:rPr>
                <w:b/>
                <w:bCs/>
              </w:rPr>
            </w:pPr>
            <w:r>
              <w:rPr>
                <w:b/>
                <w:bCs/>
              </w:rPr>
              <w:t>Head of SEND</w:t>
            </w:r>
          </w:p>
        </w:tc>
        <w:tc>
          <w:tcPr>
            <w:tcW w:w="1725" w:type="dxa"/>
          </w:tcPr>
          <w:p w:rsidR="00EB2B32" w:rsidP="006466CB" w:rsidRDefault="0047613D" w14:paraId="733740FB" w14:textId="34A7A989">
            <w:pPr>
              <w:jc w:val="left"/>
            </w:pPr>
            <w:r>
              <w:t>Fortnightly panel and as required</w:t>
            </w:r>
          </w:p>
        </w:tc>
        <w:tc>
          <w:tcPr>
            <w:tcW w:w="5434" w:type="dxa"/>
          </w:tcPr>
          <w:p w:rsidR="00EB2B32" w:rsidP="006466CB" w:rsidRDefault="002B231F" w14:paraId="1FCD498B" w14:textId="5DB90C86">
            <w:pPr>
              <w:jc w:val="left"/>
            </w:pPr>
            <w:r>
              <w:t>As chair of the County Independent Placement Panel</w:t>
            </w:r>
            <w:r w:rsidR="00694B54">
              <w:t xml:space="preserve"> to consider any requests for an independent</w:t>
            </w:r>
            <w:r w:rsidR="004A21EE">
              <w:t xml:space="preserve"> and/or </w:t>
            </w:r>
            <w:proofErr w:type="spellStart"/>
            <w:proofErr w:type="gramStart"/>
            <w:r w:rsidR="004A21EE">
              <w:t>non Suffolk</w:t>
            </w:r>
            <w:proofErr w:type="spellEnd"/>
            <w:proofErr w:type="gramEnd"/>
            <w:r w:rsidR="004A21EE">
              <w:t xml:space="preserve"> education placement and associated funding.</w:t>
            </w:r>
          </w:p>
          <w:p w:rsidR="00EB2B32" w:rsidP="006466CB" w:rsidRDefault="00EB2B32" w14:paraId="72A7EE25" w14:textId="77777777">
            <w:pPr>
              <w:jc w:val="left"/>
            </w:pPr>
          </w:p>
          <w:p w:rsidR="00EB2B32" w:rsidP="006466CB" w:rsidRDefault="00EB2B32" w14:paraId="29C4E362" w14:textId="218B28C6">
            <w:pPr>
              <w:jc w:val="left"/>
            </w:pPr>
          </w:p>
        </w:tc>
        <w:tc>
          <w:tcPr>
            <w:tcW w:w="2947" w:type="dxa"/>
          </w:tcPr>
          <w:p w:rsidR="00EB2B32" w:rsidP="006466CB" w:rsidRDefault="003E759C" w14:paraId="0153E65F" w14:textId="50C922A3">
            <w:pPr>
              <w:jc w:val="left"/>
            </w:pPr>
            <w:r>
              <w:t>Actions, recommendations to be recorded as part of the coordinator function for panels</w:t>
            </w:r>
          </w:p>
        </w:tc>
        <w:tc>
          <w:tcPr>
            <w:tcW w:w="2921" w:type="dxa"/>
          </w:tcPr>
          <w:p w:rsidR="00EB2B32" w:rsidP="006466CB" w:rsidRDefault="00024200" w14:paraId="0AB96DBB" w14:textId="11C1E87D">
            <w:pPr>
              <w:jc w:val="left"/>
            </w:pPr>
            <w:r>
              <w:t xml:space="preserve">To Assistant Director of </w:t>
            </w:r>
            <w:r w:rsidR="009D3FB4">
              <w:t>Inclusion required</w:t>
            </w:r>
          </w:p>
        </w:tc>
      </w:tr>
      <w:tr w:rsidR="00AA756F" w:rsidTr="00BE033F" w14:paraId="5512BF0B" w14:textId="77777777">
        <w:tc>
          <w:tcPr>
            <w:tcW w:w="2361" w:type="dxa"/>
            <w:shd w:val="clear" w:color="auto" w:fill="F2F2F2" w:themeFill="background1" w:themeFillShade="F2"/>
          </w:tcPr>
          <w:p w:rsidRPr="006466CB" w:rsidR="00AA756F" w:rsidP="006466CB" w:rsidRDefault="00155912" w14:paraId="7BD81226" w14:textId="0085BFBD">
            <w:pPr>
              <w:spacing w:after="160"/>
              <w:jc w:val="left"/>
              <w:rPr>
                <w:b/>
                <w:bCs/>
              </w:rPr>
            </w:pPr>
            <w:r>
              <w:rPr>
                <w:b/>
                <w:bCs/>
              </w:rPr>
              <w:lastRenderedPageBreak/>
              <w:t xml:space="preserve">SEND Manager (Tribunals)/Resolutions &amp; </w:t>
            </w:r>
            <w:r w:rsidRPr="006466CB" w:rsidR="00B94482">
              <w:rPr>
                <w:b/>
                <w:bCs/>
              </w:rPr>
              <w:t>Tribunal Officer</w:t>
            </w:r>
          </w:p>
        </w:tc>
        <w:tc>
          <w:tcPr>
            <w:tcW w:w="1725" w:type="dxa"/>
          </w:tcPr>
          <w:p w:rsidR="00AA756F" w:rsidP="006466CB" w:rsidRDefault="008235DA" w14:paraId="2B3D2C46" w14:textId="471B7405">
            <w:pPr>
              <w:spacing w:after="160"/>
              <w:jc w:val="left"/>
            </w:pPr>
            <w:r>
              <w:t>As required.</w:t>
            </w:r>
          </w:p>
        </w:tc>
        <w:tc>
          <w:tcPr>
            <w:tcW w:w="5434" w:type="dxa"/>
          </w:tcPr>
          <w:p w:rsidR="00AA756F" w:rsidP="006466CB" w:rsidRDefault="00EA7B20" w14:paraId="64D845A1" w14:textId="098DF9BD">
            <w:pPr>
              <w:spacing w:after="160"/>
              <w:jc w:val="left"/>
            </w:pPr>
            <w:r>
              <w:t>To take decisions in Tribunal hearings</w:t>
            </w:r>
            <w:r w:rsidR="00323FD2">
              <w:t xml:space="preserve"> or in implementing Tribunal judgements, when decisions are required at that time and cannot be deferred to Panel discussions.</w:t>
            </w:r>
          </w:p>
        </w:tc>
        <w:tc>
          <w:tcPr>
            <w:tcW w:w="2947" w:type="dxa"/>
          </w:tcPr>
          <w:p w:rsidR="00155912" w:rsidP="006466CB" w:rsidRDefault="00155912" w14:paraId="3082F87E" w14:textId="77777777">
            <w:pPr>
              <w:spacing w:after="160"/>
              <w:jc w:val="left"/>
            </w:pPr>
            <w:r>
              <w:t>To communicate decisions made at tribunal to EHCP Area Panel</w:t>
            </w:r>
            <w:r w:rsidR="00B13FD1">
              <w:t xml:space="preserve"> for noting</w:t>
            </w:r>
          </w:p>
          <w:p w:rsidR="00B13FD1" w:rsidP="006466CB" w:rsidRDefault="00B13FD1" w14:paraId="57F42746" w14:textId="1EAAABE1">
            <w:pPr>
              <w:spacing w:after="160"/>
              <w:jc w:val="left"/>
            </w:pPr>
            <w:r>
              <w:t xml:space="preserve">To communicate decisions to appropriate Family Services staff member to action tribunal decision </w:t>
            </w:r>
          </w:p>
        </w:tc>
        <w:tc>
          <w:tcPr>
            <w:tcW w:w="2921" w:type="dxa"/>
          </w:tcPr>
          <w:p w:rsidR="00AA756F" w:rsidP="006466CB" w:rsidRDefault="00382EED" w14:paraId="4C9396F3" w14:textId="6A44A060">
            <w:pPr>
              <w:spacing w:after="160"/>
              <w:jc w:val="left"/>
            </w:pPr>
            <w:r>
              <w:t>Final Tribunal judgements must be implemented by the local authority.</w:t>
            </w:r>
          </w:p>
        </w:tc>
      </w:tr>
    </w:tbl>
    <w:p w:rsidR="009A40FE" w:rsidP="00416A4C" w:rsidRDefault="009A40FE" w14:paraId="72EB4B99" w14:textId="77777777">
      <w:pPr>
        <w:pStyle w:val="Heading1"/>
      </w:pPr>
    </w:p>
    <w:p w:rsidR="00416A4C" w:rsidP="00416A4C" w:rsidRDefault="00416A4C" w14:paraId="1D1C71B6" w14:textId="0C2B4463">
      <w:pPr>
        <w:pStyle w:val="Heading1"/>
      </w:pPr>
      <w:r>
        <w:t>Arrangements and responsibility for reviewing the scheme of delegation</w:t>
      </w:r>
    </w:p>
    <w:p w:rsidRPr="00401C96" w:rsidR="00AA57FB" w:rsidP="00401C96" w:rsidRDefault="00416A4C" w14:paraId="30A4C3A3" w14:textId="60610980">
      <w:r>
        <w:t xml:space="preserve">This scheme of delegation will be reviewed and, if necessary, updated annually. Feedback will be gathered from </w:t>
      </w:r>
      <w:r w:rsidR="00C63CA5">
        <w:t xml:space="preserve">the officers listed in the preceding section, through Panel meetings, and through the operation of the </w:t>
      </w:r>
      <w:r w:rsidR="00DE6A28">
        <w:t>Suffolk</w:t>
      </w:r>
      <w:r w:rsidR="00C63CA5">
        <w:t xml:space="preserve"> EHCP Quality-Assurance Framework. </w:t>
      </w:r>
      <w:r>
        <w:t xml:space="preserve">Responsibility for the review of the </w:t>
      </w:r>
      <w:r w:rsidR="00C63CA5">
        <w:t>scheme of delegation</w:t>
      </w:r>
      <w:r>
        <w:t xml:space="preserve"> and </w:t>
      </w:r>
      <w:r w:rsidR="00066046">
        <w:t xml:space="preserve">enacting decisions by the Director of Children’s Services and the Director of Education </w:t>
      </w:r>
      <w:r>
        <w:t xml:space="preserve">regarding </w:t>
      </w:r>
      <w:r w:rsidR="00C63CA5">
        <w:t xml:space="preserve">any changes made to the </w:t>
      </w:r>
      <w:r w:rsidR="00066046">
        <w:t xml:space="preserve">scheme of delegation </w:t>
      </w:r>
      <w:r>
        <w:t>will sit with the Head of SEND Strategy &amp; Innovation.</w:t>
      </w:r>
    </w:p>
    <w:sectPr w:rsidRPr="00401C96" w:rsidR="00AA57FB" w:rsidSect="00383C28">
      <w:headerReference w:type="default" r:id="rId12"/>
      <w:footerReference w:type="default" r:id="rId13"/>
      <w:pgSz w:w="16838" w:h="11906" w:orient="landscape"/>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38400" w14:textId="77777777" w:rsidR="006E7D2E" w:rsidRDefault="006E7D2E" w:rsidP="00E00FE5">
      <w:pPr>
        <w:spacing w:after="0" w:line="240" w:lineRule="auto"/>
      </w:pPr>
      <w:r>
        <w:separator/>
      </w:r>
    </w:p>
  </w:endnote>
  <w:endnote w:type="continuationSeparator" w:id="0">
    <w:p w14:paraId="5658D1B5" w14:textId="77777777" w:rsidR="006E7D2E" w:rsidRDefault="006E7D2E" w:rsidP="00E00FE5">
      <w:pPr>
        <w:spacing w:after="0" w:line="240" w:lineRule="auto"/>
      </w:pPr>
      <w:r>
        <w:continuationSeparator/>
      </w:r>
    </w:p>
  </w:endnote>
  <w:endnote w:type="continuationNotice" w:id="1">
    <w:p w14:paraId="36AAAFBE" w14:textId="77777777" w:rsidR="006E7D2E" w:rsidRDefault="006E7D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949163"/>
      <w:docPartObj>
        <w:docPartGallery w:val="Page Numbers (Bottom of Page)"/>
        <w:docPartUnique/>
      </w:docPartObj>
    </w:sdtPr>
    <w:sdtEndPr>
      <w:rPr>
        <w:noProof/>
      </w:rPr>
    </w:sdtEndPr>
    <w:sdtContent>
      <w:p w14:paraId="79C24374" w14:textId="7A738DB7" w:rsidR="00E00FE5" w:rsidRDefault="00E00F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8A0739" w14:textId="77777777" w:rsidR="00E00FE5" w:rsidRDefault="00E00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0AD3" w14:textId="77777777" w:rsidR="006E7D2E" w:rsidRDefault="006E7D2E" w:rsidP="00E00FE5">
      <w:pPr>
        <w:spacing w:after="0" w:line="240" w:lineRule="auto"/>
      </w:pPr>
      <w:r>
        <w:separator/>
      </w:r>
    </w:p>
  </w:footnote>
  <w:footnote w:type="continuationSeparator" w:id="0">
    <w:p w14:paraId="083AB685" w14:textId="77777777" w:rsidR="006E7D2E" w:rsidRDefault="006E7D2E" w:rsidP="00E00FE5">
      <w:pPr>
        <w:spacing w:after="0" w:line="240" w:lineRule="auto"/>
      </w:pPr>
      <w:r>
        <w:continuationSeparator/>
      </w:r>
    </w:p>
  </w:footnote>
  <w:footnote w:type="continuationNotice" w:id="1">
    <w:p w14:paraId="6759D54B" w14:textId="77777777" w:rsidR="006E7D2E" w:rsidRDefault="006E7D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2ACC" w14:textId="45F204B1" w:rsidR="00A8225F" w:rsidRPr="002211EA" w:rsidRDefault="00EF74B0" w:rsidP="006F11B2">
    <w:pPr>
      <w:pStyle w:val="Header"/>
      <w:spacing w:after="240"/>
      <w:jc w:val="left"/>
      <w:rPr>
        <w:b/>
        <w:bCs/>
        <w:color w:val="7F7F7F" w:themeColor="text1" w:themeTint="80"/>
      </w:rPr>
    </w:pPr>
    <w:r>
      <w:rPr>
        <w:b/>
        <w:bCs/>
        <w:color w:val="7F7F7F" w:themeColor="text1" w:themeTint="80"/>
      </w:rPr>
      <w:t>Suffolk</w:t>
    </w:r>
    <w:r w:rsidR="00A8225F" w:rsidRPr="002211EA">
      <w:rPr>
        <w:b/>
        <w:bCs/>
        <w:color w:val="7F7F7F" w:themeColor="text1" w:themeTint="80"/>
      </w:rPr>
      <w:t xml:space="preserve"> Education, </w:t>
    </w:r>
    <w:proofErr w:type="gramStart"/>
    <w:r w:rsidR="00A8225F" w:rsidRPr="002211EA">
      <w:rPr>
        <w:b/>
        <w:bCs/>
        <w:color w:val="7F7F7F" w:themeColor="text1" w:themeTint="80"/>
      </w:rPr>
      <w:t>Health</w:t>
    </w:r>
    <w:proofErr w:type="gramEnd"/>
    <w:r w:rsidR="00A8225F" w:rsidRPr="002211EA">
      <w:rPr>
        <w:b/>
        <w:bCs/>
        <w:color w:val="7F7F7F" w:themeColor="text1" w:themeTint="80"/>
      </w:rPr>
      <w:t xml:space="preserve"> and Care: </w:t>
    </w:r>
    <w:r>
      <w:rPr>
        <w:b/>
        <w:bCs/>
        <w:color w:val="7F7F7F" w:themeColor="text1" w:themeTint="80"/>
      </w:rPr>
      <w:t>Scheme of delegation</w:t>
    </w:r>
    <w:r w:rsidR="006F11B2" w:rsidRPr="006F11B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0FFC"/>
    <w:multiLevelType w:val="hybridMultilevel"/>
    <w:tmpl w:val="C8C8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7289E"/>
    <w:multiLevelType w:val="hybridMultilevel"/>
    <w:tmpl w:val="EED61C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68401C"/>
    <w:multiLevelType w:val="hybridMultilevel"/>
    <w:tmpl w:val="7AF0C3FA"/>
    <w:lvl w:ilvl="0" w:tplc="1BCEF49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62019"/>
    <w:multiLevelType w:val="hybridMultilevel"/>
    <w:tmpl w:val="2A00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C646B"/>
    <w:multiLevelType w:val="hybridMultilevel"/>
    <w:tmpl w:val="7426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F240F"/>
    <w:multiLevelType w:val="hybridMultilevel"/>
    <w:tmpl w:val="B6F67268"/>
    <w:lvl w:ilvl="0" w:tplc="602C12D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042A11"/>
    <w:multiLevelType w:val="hybridMultilevel"/>
    <w:tmpl w:val="2166B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EC71DC"/>
    <w:multiLevelType w:val="hybridMultilevel"/>
    <w:tmpl w:val="B65A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CA3FEA"/>
    <w:multiLevelType w:val="multilevel"/>
    <w:tmpl w:val="7EC0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A764C2"/>
    <w:multiLevelType w:val="hybridMultilevel"/>
    <w:tmpl w:val="67D61A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F006F04"/>
    <w:multiLevelType w:val="hybridMultilevel"/>
    <w:tmpl w:val="9376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912A68"/>
    <w:multiLevelType w:val="multilevel"/>
    <w:tmpl w:val="2B88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A44013"/>
    <w:multiLevelType w:val="hybridMultilevel"/>
    <w:tmpl w:val="B2F02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7012BB"/>
    <w:multiLevelType w:val="hybridMultilevel"/>
    <w:tmpl w:val="94086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614688">
    <w:abstractNumId w:val="6"/>
  </w:num>
  <w:num w:numId="2" w16cid:durableId="965888919">
    <w:abstractNumId w:val="7"/>
  </w:num>
  <w:num w:numId="3" w16cid:durableId="246546890">
    <w:abstractNumId w:val="3"/>
  </w:num>
  <w:num w:numId="4" w16cid:durableId="1313870719">
    <w:abstractNumId w:val="10"/>
  </w:num>
  <w:num w:numId="5" w16cid:durableId="1372799241">
    <w:abstractNumId w:val="13"/>
  </w:num>
  <w:num w:numId="6" w16cid:durableId="707952277">
    <w:abstractNumId w:val="2"/>
  </w:num>
  <w:num w:numId="7" w16cid:durableId="110515434">
    <w:abstractNumId w:val="0"/>
  </w:num>
  <w:num w:numId="8" w16cid:durableId="1755978897">
    <w:abstractNumId w:val="4"/>
  </w:num>
  <w:num w:numId="9" w16cid:durableId="1281720047">
    <w:abstractNumId w:val="11"/>
  </w:num>
  <w:num w:numId="10" w16cid:durableId="352804168">
    <w:abstractNumId w:val="8"/>
  </w:num>
  <w:num w:numId="11" w16cid:durableId="825635620">
    <w:abstractNumId w:val="12"/>
  </w:num>
  <w:num w:numId="12" w16cid:durableId="1235553365">
    <w:abstractNumId w:val="5"/>
  </w:num>
  <w:num w:numId="13" w16cid:durableId="1367947397">
    <w:abstractNumId w:val="1"/>
  </w:num>
  <w:num w:numId="14" w16cid:durableId="21098108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E5"/>
    <w:rsid w:val="00003EE5"/>
    <w:rsid w:val="00020921"/>
    <w:rsid w:val="00024200"/>
    <w:rsid w:val="00040150"/>
    <w:rsid w:val="00057B58"/>
    <w:rsid w:val="000604CC"/>
    <w:rsid w:val="000609DF"/>
    <w:rsid w:val="00064472"/>
    <w:rsid w:val="0006512E"/>
    <w:rsid w:val="00066046"/>
    <w:rsid w:val="00074C3F"/>
    <w:rsid w:val="00086204"/>
    <w:rsid w:val="000A33C0"/>
    <w:rsid w:val="000A4409"/>
    <w:rsid w:val="000A7D77"/>
    <w:rsid w:val="000B31F8"/>
    <w:rsid w:val="000B504A"/>
    <w:rsid w:val="000B5207"/>
    <w:rsid w:val="000C628A"/>
    <w:rsid w:val="000D093F"/>
    <w:rsid w:val="000D5C23"/>
    <w:rsid w:val="000E06F4"/>
    <w:rsid w:val="000F1FF3"/>
    <w:rsid w:val="000F3479"/>
    <w:rsid w:val="000F3A80"/>
    <w:rsid w:val="00102A1D"/>
    <w:rsid w:val="001155BD"/>
    <w:rsid w:val="0012061C"/>
    <w:rsid w:val="00125977"/>
    <w:rsid w:val="00126857"/>
    <w:rsid w:val="00132455"/>
    <w:rsid w:val="001326F7"/>
    <w:rsid w:val="00133FE3"/>
    <w:rsid w:val="001419C6"/>
    <w:rsid w:val="00154A71"/>
    <w:rsid w:val="00155912"/>
    <w:rsid w:val="00155E06"/>
    <w:rsid w:val="00156159"/>
    <w:rsid w:val="001631A0"/>
    <w:rsid w:val="00166337"/>
    <w:rsid w:val="00175103"/>
    <w:rsid w:val="00176829"/>
    <w:rsid w:val="00177962"/>
    <w:rsid w:val="001800CF"/>
    <w:rsid w:val="00185C83"/>
    <w:rsid w:val="001920A6"/>
    <w:rsid w:val="00196791"/>
    <w:rsid w:val="001A590C"/>
    <w:rsid w:val="001A5F1E"/>
    <w:rsid w:val="001B6810"/>
    <w:rsid w:val="001C07F1"/>
    <w:rsid w:val="001C3827"/>
    <w:rsid w:val="001D13D5"/>
    <w:rsid w:val="001D36B8"/>
    <w:rsid w:val="001D4DEB"/>
    <w:rsid w:val="001D545F"/>
    <w:rsid w:val="001D5E8D"/>
    <w:rsid w:val="001D70AD"/>
    <w:rsid w:val="001E0D46"/>
    <w:rsid w:val="001E3D48"/>
    <w:rsid w:val="001E6973"/>
    <w:rsid w:val="002012F2"/>
    <w:rsid w:val="00205793"/>
    <w:rsid w:val="00207028"/>
    <w:rsid w:val="00216482"/>
    <w:rsid w:val="002211EA"/>
    <w:rsid w:val="002273B7"/>
    <w:rsid w:val="00231512"/>
    <w:rsid w:val="00254FB7"/>
    <w:rsid w:val="00261871"/>
    <w:rsid w:val="00267175"/>
    <w:rsid w:val="00280C08"/>
    <w:rsid w:val="002838F9"/>
    <w:rsid w:val="00287D43"/>
    <w:rsid w:val="0029068C"/>
    <w:rsid w:val="002A6E19"/>
    <w:rsid w:val="002B231F"/>
    <w:rsid w:val="002C0E9B"/>
    <w:rsid w:val="002C4043"/>
    <w:rsid w:val="002D202C"/>
    <w:rsid w:val="002D463F"/>
    <w:rsid w:val="002E20B2"/>
    <w:rsid w:val="002E3774"/>
    <w:rsid w:val="002E7E62"/>
    <w:rsid w:val="00313DA4"/>
    <w:rsid w:val="003141AC"/>
    <w:rsid w:val="00315CBC"/>
    <w:rsid w:val="003210C4"/>
    <w:rsid w:val="00323FD2"/>
    <w:rsid w:val="0032703A"/>
    <w:rsid w:val="00327A8A"/>
    <w:rsid w:val="003403CE"/>
    <w:rsid w:val="003465A9"/>
    <w:rsid w:val="003526CE"/>
    <w:rsid w:val="00362FA3"/>
    <w:rsid w:val="003648F2"/>
    <w:rsid w:val="00374CB7"/>
    <w:rsid w:val="00382EED"/>
    <w:rsid w:val="00383C28"/>
    <w:rsid w:val="00391B5D"/>
    <w:rsid w:val="003953E7"/>
    <w:rsid w:val="003A3301"/>
    <w:rsid w:val="003B3610"/>
    <w:rsid w:val="003B3F79"/>
    <w:rsid w:val="003C10F9"/>
    <w:rsid w:val="003C4646"/>
    <w:rsid w:val="003C7ADB"/>
    <w:rsid w:val="003D0A1F"/>
    <w:rsid w:val="003D426A"/>
    <w:rsid w:val="003D45A2"/>
    <w:rsid w:val="003E0A22"/>
    <w:rsid w:val="003E7594"/>
    <w:rsid w:val="003E759C"/>
    <w:rsid w:val="003F1D5F"/>
    <w:rsid w:val="003F5A7C"/>
    <w:rsid w:val="00401C96"/>
    <w:rsid w:val="00403BFF"/>
    <w:rsid w:val="0041070B"/>
    <w:rsid w:val="00410C6E"/>
    <w:rsid w:val="00416A4C"/>
    <w:rsid w:val="00417EDF"/>
    <w:rsid w:val="00417F9D"/>
    <w:rsid w:val="004256CF"/>
    <w:rsid w:val="00426F96"/>
    <w:rsid w:val="0043546D"/>
    <w:rsid w:val="0044015F"/>
    <w:rsid w:val="00440A99"/>
    <w:rsid w:val="00440B33"/>
    <w:rsid w:val="00445EF6"/>
    <w:rsid w:val="00453C01"/>
    <w:rsid w:val="004551DC"/>
    <w:rsid w:val="0045645A"/>
    <w:rsid w:val="004676E8"/>
    <w:rsid w:val="00467E85"/>
    <w:rsid w:val="00471038"/>
    <w:rsid w:val="0047613D"/>
    <w:rsid w:val="004927F6"/>
    <w:rsid w:val="00495764"/>
    <w:rsid w:val="004A1075"/>
    <w:rsid w:val="004A21EE"/>
    <w:rsid w:val="004A5969"/>
    <w:rsid w:val="004A5EFD"/>
    <w:rsid w:val="004C1B35"/>
    <w:rsid w:val="004D1BC9"/>
    <w:rsid w:val="004E3ACC"/>
    <w:rsid w:val="00506596"/>
    <w:rsid w:val="0050765F"/>
    <w:rsid w:val="00510159"/>
    <w:rsid w:val="00525892"/>
    <w:rsid w:val="00541138"/>
    <w:rsid w:val="00547B92"/>
    <w:rsid w:val="00562830"/>
    <w:rsid w:val="0057042D"/>
    <w:rsid w:val="00574748"/>
    <w:rsid w:val="00574F81"/>
    <w:rsid w:val="00574F88"/>
    <w:rsid w:val="0059466B"/>
    <w:rsid w:val="005A11E8"/>
    <w:rsid w:val="005A53D3"/>
    <w:rsid w:val="005A61A9"/>
    <w:rsid w:val="005B13D3"/>
    <w:rsid w:val="005B3213"/>
    <w:rsid w:val="005B7D2C"/>
    <w:rsid w:val="005C1B3A"/>
    <w:rsid w:val="005C4A6F"/>
    <w:rsid w:val="005C61B6"/>
    <w:rsid w:val="005D78E1"/>
    <w:rsid w:val="005E2724"/>
    <w:rsid w:val="005F6C80"/>
    <w:rsid w:val="00604623"/>
    <w:rsid w:val="00616717"/>
    <w:rsid w:val="00625487"/>
    <w:rsid w:val="00635060"/>
    <w:rsid w:val="00640986"/>
    <w:rsid w:val="00643290"/>
    <w:rsid w:val="006466CB"/>
    <w:rsid w:val="006475D0"/>
    <w:rsid w:val="00652DC1"/>
    <w:rsid w:val="00653C05"/>
    <w:rsid w:val="006555A4"/>
    <w:rsid w:val="006577A9"/>
    <w:rsid w:val="00666BDD"/>
    <w:rsid w:val="0067229E"/>
    <w:rsid w:val="0067263D"/>
    <w:rsid w:val="00690110"/>
    <w:rsid w:val="0069276D"/>
    <w:rsid w:val="00694B54"/>
    <w:rsid w:val="006952AE"/>
    <w:rsid w:val="006A7F36"/>
    <w:rsid w:val="006C161C"/>
    <w:rsid w:val="006C3A71"/>
    <w:rsid w:val="006D742D"/>
    <w:rsid w:val="006E0B03"/>
    <w:rsid w:val="006E1E25"/>
    <w:rsid w:val="006E7888"/>
    <w:rsid w:val="006E7D1B"/>
    <w:rsid w:val="006E7D2E"/>
    <w:rsid w:val="006F11B2"/>
    <w:rsid w:val="006F21E7"/>
    <w:rsid w:val="006F4FD9"/>
    <w:rsid w:val="006F7C7E"/>
    <w:rsid w:val="007140DE"/>
    <w:rsid w:val="007340CB"/>
    <w:rsid w:val="00737726"/>
    <w:rsid w:val="0074030D"/>
    <w:rsid w:val="007420F7"/>
    <w:rsid w:val="00742EF6"/>
    <w:rsid w:val="00761AEC"/>
    <w:rsid w:val="00763F04"/>
    <w:rsid w:val="00765385"/>
    <w:rsid w:val="0076581B"/>
    <w:rsid w:val="00777420"/>
    <w:rsid w:val="007805F4"/>
    <w:rsid w:val="007814A1"/>
    <w:rsid w:val="00783684"/>
    <w:rsid w:val="00784B42"/>
    <w:rsid w:val="00796258"/>
    <w:rsid w:val="007A3592"/>
    <w:rsid w:val="007B47BF"/>
    <w:rsid w:val="007C72F5"/>
    <w:rsid w:val="007D22D5"/>
    <w:rsid w:val="007E7322"/>
    <w:rsid w:val="008019C7"/>
    <w:rsid w:val="0081055C"/>
    <w:rsid w:val="008105A8"/>
    <w:rsid w:val="00810916"/>
    <w:rsid w:val="00812826"/>
    <w:rsid w:val="008235DA"/>
    <w:rsid w:val="00836E6B"/>
    <w:rsid w:val="008370A9"/>
    <w:rsid w:val="00845009"/>
    <w:rsid w:val="00852492"/>
    <w:rsid w:val="00852B8D"/>
    <w:rsid w:val="008577D7"/>
    <w:rsid w:val="00863E50"/>
    <w:rsid w:val="00863E65"/>
    <w:rsid w:val="00871525"/>
    <w:rsid w:val="008737FA"/>
    <w:rsid w:val="00886CFF"/>
    <w:rsid w:val="008902F3"/>
    <w:rsid w:val="008B5C7A"/>
    <w:rsid w:val="008C201E"/>
    <w:rsid w:val="008C6C8F"/>
    <w:rsid w:val="008D1708"/>
    <w:rsid w:val="008D47B8"/>
    <w:rsid w:val="008D6BC8"/>
    <w:rsid w:val="008D7BA6"/>
    <w:rsid w:val="008E299D"/>
    <w:rsid w:val="008E6832"/>
    <w:rsid w:val="008F0C95"/>
    <w:rsid w:val="008F4BE8"/>
    <w:rsid w:val="00916973"/>
    <w:rsid w:val="00927108"/>
    <w:rsid w:val="009354F4"/>
    <w:rsid w:val="00941449"/>
    <w:rsid w:val="0094226F"/>
    <w:rsid w:val="009438C7"/>
    <w:rsid w:val="00952655"/>
    <w:rsid w:val="00955B2D"/>
    <w:rsid w:val="009631E2"/>
    <w:rsid w:val="009748A7"/>
    <w:rsid w:val="00974A3F"/>
    <w:rsid w:val="00976F08"/>
    <w:rsid w:val="00981858"/>
    <w:rsid w:val="009A0470"/>
    <w:rsid w:val="009A092D"/>
    <w:rsid w:val="009A40FE"/>
    <w:rsid w:val="009A6201"/>
    <w:rsid w:val="009A6F30"/>
    <w:rsid w:val="009B1952"/>
    <w:rsid w:val="009B4607"/>
    <w:rsid w:val="009B784C"/>
    <w:rsid w:val="009B7B03"/>
    <w:rsid w:val="009C48FE"/>
    <w:rsid w:val="009D08B1"/>
    <w:rsid w:val="009D3FB4"/>
    <w:rsid w:val="009D4838"/>
    <w:rsid w:val="009D7AA3"/>
    <w:rsid w:val="009E0044"/>
    <w:rsid w:val="009E3264"/>
    <w:rsid w:val="009E63A9"/>
    <w:rsid w:val="009E6D19"/>
    <w:rsid w:val="009F6759"/>
    <w:rsid w:val="00A01487"/>
    <w:rsid w:val="00A03296"/>
    <w:rsid w:val="00A0666F"/>
    <w:rsid w:val="00A11BFD"/>
    <w:rsid w:val="00A177D7"/>
    <w:rsid w:val="00A23A1D"/>
    <w:rsid w:val="00A33D14"/>
    <w:rsid w:val="00A423F6"/>
    <w:rsid w:val="00A441A8"/>
    <w:rsid w:val="00A53B69"/>
    <w:rsid w:val="00A5701F"/>
    <w:rsid w:val="00A616E1"/>
    <w:rsid w:val="00A6353C"/>
    <w:rsid w:val="00A73285"/>
    <w:rsid w:val="00A8225F"/>
    <w:rsid w:val="00A82B9C"/>
    <w:rsid w:val="00A848CC"/>
    <w:rsid w:val="00A871EE"/>
    <w:rsid w:val="00A9283B"/>
    <w:rsid w:val="00A973E9"/>
    <w:rsid w:val="00AA2A49"/>
    <w:rsid w:val="00AA5090"/>
    <w:rsid w:val="00AA57FB"/>
    <w:rsid w:val="00AA756F"/>
    <w:rsid w:val="00AB511F"/>
    <w:rsid w:val="00AB5607"/>
    <w:rsid w:val="00AC3E21"/>
    <w:rsid w:val="00AC6F1D"/>
    <w:rsid w:val="00AD1045"/>
    <w:rsid w:val="00AD6C79"/>
    <w:rsid w:val="00AE76FB"/>
    <w:rsid w:val="00AF0BA3"/>
    <w:rsid w:val="00B027C0"/>
    <w:rsid w:val="00B1279D"/>
    <w:rsid w:val="00B13FD1"/>
    <w:rsid w:val="00B20F42"/>
    <w:rsid w:val="00B2130C"/>
    <w:rsid w:val="00B41192"/>
    <w:rsid w:val="00B42280"/>
    <w:rsid w:val="00B42BAD"/>
    <w:rsid w:val="00B6286A"/>
    <w:rsid w:val="00B647CE"/>
    <w:rsid w:val="00B71C5D"/>
    <w:rsid w:val="00B7742C"/>
    <w:rsid w:val="00B8254A"/>
    <w:rsid w:val="00B94482"/>
    <w:rsid w:val="00B95334"/>
    <w:rsid w:val="00BA4F80"/>
    <w:rsid w:val="00BB238B"/>
    <w:rsid w:val="00BB24B9"/>
    <w:rsid w:val="00BB2652"/>
    <w:rsid w:val="00BD51C6"/>
    <w:rsid w:val="00BE033F"/>
    <w:rsid w:val="00BE7640"/>
    <w:rsid w:val="00BF5B80"/>
    <w:rsid w:val="00BF7B8F"/>
    <w:rsid w:val="00C00322"/>
    <w:rsid w:val="00C00A45"/>
    <w:rsid w:val="00C115D5"/>
    <w:rsid w:val="00C118A6"/>
    <w:rsid w:val="00C201CA"/>
    <w:rsid w:val="00C2083C"/>
    <w:rsid w:val="00C22324"/>
    <w:rsid w:val="00C22BFC"/>
    <w:rsid w:val="00C30DA7"/>
    <w:rsid w:val="00C31442"/>
    <w:rsid w:val="00C52BDD"/>
    <w:rsid w:val="00C545B6"/>
    <w:rsid w:val="00C556E3"/>
    <w:rsid w:val="00C573AC"/>
    <w:rsid w:val="00C63CA5"/>
    <w:rsid w:val="00C71B74"/>
    <w:rsid w:val="00C76024"/>
    <w:rsid w:val="00C90BAD"/>
    <w:rsid w:val="00CA4A2E"/>
    <w:rsid w:val="00CB5101"/>
    <w:rsid w:val="00CC7EB6"/>
    <w:rsid w:val="00CF4DCD"/>
    <w:rsid w:val="00D11C53"/>
    <w:rsid w:val="00D11E85"/>
    <w:rsid w:val="00D132DC"/>
    <w:rsid w:val="00D15F07"/>
    <w:rsid w:val="00D21645"/>
    <w:rsid w:val="00D35061"/>
    <w:rsid w:val="00D52651"/>
    <w:rsid w:val="00D63A60"/>
    <w:rsid w:val="00D67240"/>
    <w:rsid w:val="00D7129B"/>
    <w:rsid w:val="00D7288D"/>
    <w:rsid w:val="00D741D0"/>
    <w:rsid w:val="00D76976"/>
    <w:rsid w:val="00D87631"/>
    <w:rsid w:val="00D942B7"/>
    <w:rsid w:val="00D97458"/>
    <w:rsid w:val="00D9788E"/>
    <w:rsid w:val="00DA5493"/>
    <w:rsid w:val="00DB2642"/>
    <w:rsid w:val="00DB5E57"/>
    <w:rsid w:val="00DB6338"/>
    <w:rsid w:val="00DC0C8B"/>
    <w:rsid w:val="00DD0843"/>
    <w:rsid w:val="00DD1451"/>
    <w:rsid w:val="00DD2357"/>
    <w:rsid w:val="00DE0789"/>
    <w:rsid w:val="00DE11B3"/>
    <w:rsid w:val="00DE6A28"/>
    <w:rsid w:val="00DF402C"/>
    <w:rsid w:val="00E00FE5"/>
    <w:rsid w:val="00E06673"/>
    <w:rsid w:val="00E3113A"/>
    <w:rsid w:val="00E32E38"/>
    <w:rsid w:val="00E33FCA"/>
    <w:rsid w:val="00E40B07"/>
    <w:rsid w:val="00E523DC"/>
    <w:rsid w:val="00E5327E"/>
    <w:rsid w:val="00E536ED"/>
    <w:rsid w:val="00E621C5"/>
    <w:rsid w:val="00E65103"/>
    <w:rsid w:val="00E72A9F"/>
    <w:rsid w:val="00E737A5"/>
    <w:rsid w:val="00E73EEB"/>
    <w:rsid w:val="00E76A02"/>
    <w:rsid w:val="00E82ABF"/>
    <w:rsid w:val="00E87858"/>
    <w:rsid w:val="00E949C6"/>
    <w:rsid w:val="00EA0D97"/>
    <w:rsid w:val="00EA2540"/>
    <w:rsid w:val="00EA25EE"/>
    <w:rsid w:val="00EA57E2"/>
    <w:rsid w:val="00EA5A31"/>
    <w:rsid w:val="00EA7B20"/>
    <w:rsid w:val="00EB20AD"/>
    <w:rsid w:val="00EB2A5B"/>
    <w:rsid w:val="00EB2B32"/>
    <w:rsid w:val="00EC331C"/>
    <w:rsid w:val="00ED1B4F"/>
    <w:rsid w:val="00EF382B"/>
    <w:rsid w:val="00EF74B0"/>
    <w:rsid w:val="00F03422"/>
    <w:rsid w:val="00F03587"/>
    <w:rsid w:val="00F14C43"/>
    <w:rsid w:val="00F30CAD"/>
    <w:rsid w:val="00F3143B"/>
    <w:rsid w:val="00F32D3A"/>
    <w:rsid w:val="00F36DC3"/>
    <w:rsid w:val="00F44DBB"/>
    <w:rsid w:val="00F45008"/>
    <w:rsid w:val="00F466C1"/>
    <w:rsid w:val="00F52FD8"/>
    <w:rsid w:val="00F5502E"/>
    <w:rsid w:val="00F5555C"/>
    <w:rsid w:val="00F6344B"/>
    <w:rsid w:val="00F658A9"/>
    <w:rsid w:val="00F74F51"/>
    <w:rsid w:val="00F75668"/>
    <w:rsid w:val="00F97321"/>
    <w:rsid w:val="00FA236C"/>
    <w:rsid w:val="00FA377F"/>
    <w:rsid w:val="00FA47E4"/>
    <w:rsid w:val="00FA76C4"/>
    <w:rsid w:val="00FC5265"/>
    <w:rsid w:val="00FD09AD"/>
    <w:rsid w:val="00FD4425"/>
    <w:rsid w:val="00FE1A9D"/>
    <w:rsid w:val="00FE33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F3B81"/>
  <w15:docId w15:val="{37074C32-AB2E-4FD3-9BE6-6BF031CD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1D"/>
    <w:pPr>
      <w:jc w:val="both"/>
    </w:pPr>
  </w:style>
  <w:style w:type="paragraph" w:styleId="Heading1">
    <w:name w:val="heading 1"/>
    <w:basedOn w:val="Normal"/>
    <w:next w:val="Normal"/>
    <w:link w:val="Heading1Char"/>
    <w:uiPriority w:val="9"/>
    <w:qFormat/>
    <w:rsid w:val="00401C96"/>
    <w:pPr>
      <w:keepNext/>
      <w:keepLines/>
      <w:outlineLvl w:val="0"/>
    </w:pPr>
    <w:rPr>
      <w:rFonts w:eastAsiaTheme="majorEastAsia" w:cstheme="majorBidi"/>
      <w:b/>
      <w:color w:val="4472C4" w:themeColor="accent1"/>
      <w:sz w:val="32"/>
      <w:szCs w:val="32"/>
    </w:rPr>
  </w:style>
  <w:style w:type="paragraph" w:styleId="Heading2">
    <w:name w:val="heading 2"/>
    <w:basedOn w:val="Normal"/>
    <w:next w:val="Normal"/>
    <w:link w:val="Heading2Char"/>
    <w:uiPriority w:val="9"/>
    <w:unhideWhenUsed/>
    <w:qFormat/>
    <w:rsid w:val="00401C96"/>
    <w:pPr>
      <w:keepNext/>
      <w:keepLines/>
      <w:outlineLvl w:val="1"/>
    </w:pPr>
    <w:rPr>
      <w:rFonts w:eastAsiaTheme="majorEastAsia" w:cstheme="majorBidi"/>
      <w:b/>
      <w:color w:val="44546A" w:themeColor="text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F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FE5"/>
  </w:style>
  <w:style w:type="paragraph" w:styleId="Footer">
    <w:name w:val="footer"/>
    <w:basedOn w:val="Normal"/>
    <w:link w:val="FooterChar"/>
    <w:uiPriority w:val="99"/>
    <w:unhideWhenUsed/>
    <w:rsid w:val="00E00F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FE5"/>
  </w:style>
  <w:style w:type="character" w:customStyle="1" w:styleId="Heading1Char">
    <w:name w:val="Heading 1 Char"/>
    <w:basedOn w:val="DefaultParagraphFont"/>
    <w:link w:val="Heading1"/>
    <w:uiPriority w:val="9"/>
    <w:rsid w:val="00401C96"/>
    <w:rPr>
      <w:rFonts w:eastAsiaTheme="majorEastAsia" w:cstheme="majorBidi"/>
      <w:b/>
      <w:color w:val="4472C4" w:themeColor="accent1"/>
      <w:sz w:val="32"/>
      <w:szCs w:val="32"/>
    </w:rPr>
  </w:style>
  <w:style w:type="paragraph" w:styleId="Title">
    <w:name w:val="Title"/>
    <w:basedOn w:val="Normal"/>
    <w:next w:val="Normal"/>
    <w:link w:val="TitleChar"/>
    <w:uiPriority w:val="10"/>
    <w:qFormat/>
    <w:rsid w:val="00B42280"/>
    <w:pPr>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B42280"/>
    <w:rPr>
      <w:rFonts w:eastAsiaTheme="majorEastAsia" w:cstheme="majorBidi"/>
      <w:b/>
      <w:spacing w:val="-10"/>
      <w:kern w:val="28"/>
      <w:sz w:val="40"/>
      <w:szCs w:val="56"/>
    </w:rPr>
  </w:style>
  <w:style w:type="character" w:customStyle="1" w:styleId="Heading2Char">
    <w:name w:val="Heading 2 Char"/>
    <w:basedOn w:val="DefaultParagraphFont"/>
    <w:link w:val="Heading2"/>
    <w:uiPriority w:val="9"/>
    <w:rsid w:val="00401C96"/>
    <w:rPr>
      <w:rFonts w:eastAsiaTheme="majorEastAsia" w:cstheme="majorBidi"/>
      <w:b/>
      <w:color w:val="44546A" w:themeColor="text2"/>
      <w:sz w:val="28"/>
      <w:szCs w:val="26"/>
    </w:rPr>
  </w:style>
  <w:style w:type="paragraph" w:styleId="ListParagraph">
    <w:name w:val="List Paragraph"/>
    <w:basedOn w:val="Normal"/>
    <w:uiPriority w:val="34"/>
    <w:qFormat/>
    <w:rsid w:val="00A82B9C"/>
    <w:pPr>
      <w:ind w:left="720"/>
      <w:contextualSpacing/>
    </w:pPr>
  </w:style>
  <w:style w:type="table" w:styleId="TableGrid">
    <w:name w:val="Table Grid"/>
    <w:basedOn w:val="TableNormal"/>
    <w:uiPriority w:val="39"/>
    <w:rsid w:val="00AA7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7AA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D7AA3"/>
    <w:rPr>
      <w:color w:val="0000FF"/>
      <w:u w:val="single"/>
    </w:rPr>
  </w:style>
  <w:style w:type="paragraph" w:styleId="Revision">
    <w:name w:val="Revision"/>
    <w:hidden/>
    <w:uiPriority w:val="99"/>
    <w:semiHidden/>
    <w:rsid w:val="009D7AA3"/>
    <w:pPr>
      <w:spacing w:after="0" w:line="240" w:lineRule="auto"/>
    </w:pPr>
  </w:style>
  <w:style w:type="table" w:styleId="GridTable1Light">
    <w:name w:val="Grid Table 1 Light"/>
    <w:basedOn w:val="TableNormal"/>
    <w:uiPriority w:val="46"/>
    <w:rsid w:val="00102A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102A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4A5EFD"/>
    <w:rPr>
      <w:sz w:val="16"/>
      <w:szCs w:val="16"/>
    </w:rPr>
  </w:style>
  <w:style w:type="paragraph" w:styleId="CommentText">
    <w:name w:val="annotation text"/>
    <w:basedOn w:val="Normal"/>
    <w:link w:val="CommentTextChar"/>
    <w:uiPriority w:val="99"/>
    <w:unhideWhenUsed/>
    <w:rsid w:val="004A5EFD"/>
    <w:pPr>
      <w:spacing w:line="240" w:lineRule="auto"/>
    </w:pPr>
    <w:rPr>
      <w:sz w:val="20"/>
      <w:szCs w:val="20"/>
    </w:rPr>
  </w:style>
  <w:style w:type="character" w:customStyle="1" w:styleId="CommentTextChar">
    <w:name w:val="Comment Text Char"/>
    <w:basedOn w:val="DefaultParagraphFont"/>
    <w:link w:val="CommentText"/>
    <w:uiPriority w:val="99"/>
    <w:rsid w:val="004A5EFD"/>
    <w:rPr>
      <w:sz w:val="20"/>
      <w:szCs w:val="20"/>
    </w:rPr>
  </w:style>
  <w:style w:type="paragraph" w:styleId="CommentSubject">
    <w:name w:val="annotation subject"/>
    <w:basedOn w:val="CommentText"/>
    <w:next w:val="CommentText"/>
    <w:link w:val="CommentSubjectChar"/>
    <w:uiPriority w:val="99"/>
    <w:semiHidden/>
    <w:unhideWhenUsed/>
    <w:rsid w:val="004A5EFD"/>
    <w:rPr>
      <w:b/>
      <w:bCs/>
    </w:rPr>
  </w:style>
  <w:style w:type="character" w:customStyle="1" w:styleId="CommentSubjectChar">
    <w:name w:val="Comment Subject Char"/>
    <w:basedOn w:val="CommentTextChar"/>
    <w:link w:val="CommentSubject"/>
    <w:uiPriority w:val="99"/>
    <w:semiHidden/>
    <w:rsid w:val="004A5EFD"/>
    <w:rPr>
      <w:b/>
      <w:bCs/>
      <w:sz w:val="20"/>
      <w:szCs w:val="20"/>
    </w:rPr>
  </w:style>
  <w:style w:type="paragraph" w:styleId="FootnoteText">
    <w:name w:val="footnote text"/>
    <w:basedOn w:val="Normal"/>
    <w:link w:val="FootnoteTextChar"/>
    <w:uiPriority w:val="99"/>
    <w:semiHidden/>
    <w:unhideWhenUsed/>
    <w:rsid w:val="00FA37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377F"/>
    <w:rPr>
      <w:sz w:val="20"/>
      <w:szCs w:val="20"/>
    </w:rPr>
  </w:style>
  <w:style w:type="character" w:styleId="FootnoteReference">
    <w:name w:val="footnote reference"/>
    <w:basedOn w:val="DefaultParagraphFont"/>
    <w:uiPriority w:val="99"/>
    <w:unhideWhenUsed/>
    <w:rsid w:val="00FA37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428125">
      <w:bodyDiv w:val="1"/>
      <w:marLeft w:val="0"/>
      <w:marRight w:val="0"/>
      <w:marTop w:val="0"/>
      <w:marBottom w:val="0"/>
      <w:divBdr>
        <w:top w:val="none" w:sz="0" w:space="0" w:color="auto"/>
        <w:left w:val="none" w:sz="0" w:space="0" w:color="auto"/>
        <w:bottom w:val="none" w:sz="0" w:space="0" w:color="auto"/>
        <w:right w:val="none" w:sz="0" w:space="0" w:color="auto"/>
      </w:divBdr>
      <w:divsChild>
        <w:div w:id="1211308275">
          <w:marLeft w:val="0"/>
          <w:marRight w:val="0"/>
          <w:marTop w:val="0"/>
          <w:marBottom w:val="0"/>
          <w:divBdr>
            <w:top w:val="none" w:sz="0" w:space="0" w:color="auto"/>
            <w:left w:val="none" w:sz="0" w:space="0" w:color="auto"/>
            <w:bottom w:val="none" w:sz="0" w:space="0" w:color="auto"/>
            <w:right w:val="none" w:sz="0" w:space="0" w:color="auto"/>
          </w:divBdr>
          <w:divsChild>
            <w:div w:id="349987699">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sChild>
                    <w:div w:id="1933393039">
                      <w:marLeft w:val="0"/>
                      <w:marRight w:val="0"/>
                      <w:marTop w:val="0"/>
                      <w:marBottom w:val="0"/>
                      <w:divBdr>
                        <w:top w:val="none" w:sz="0" w:space="0" w:color="auto"/>
                        <w:left w:val="none" w:sz="0" w:space="0" w:color="auto"/>
                        <w:bottom w:val="none" w:sz="0" w:space="0" w:color="auto"/>
                        <w:right w:val="none" w:sz="0" w:space="0" w:color="auto"/>
                      </w:divBdr>
                      <w:divsChild>
                        <w:div w:id="1792552873">
                          <w:marLeft w:val="0"/>
                          <w:marRight w:val="0"/>
                          <w:marTop w:val="0"/>
                          <w:marBottom w:val="0"/>
                          <w:divBdr>
                            <w:top w:val="none" w:sz="0" w:space="0" w:color="auto"/>
                            <w:left w:val="none" w:sz="0" w:space="0" w:color="auto"/>
                            <w:bottom w:val="none" w:sz="0" w:space="0" w:color="auto"/>
                            <w:right w:val="none" w:sz="0" w:space="0" w:color="auto"/>
                          </w:divBdr>
                          <w:divsChild>
                            <w:div w:id="1143815058">
                              <w:marLeft w:val="0"/>
                              <w:marRight w:val="0"/>
                              <w:marTop w:val="0"/>
                              <w:marBottom w:val="0"/>
                              <w:divBdr>
                                <w:top w:val="none" w:sz="0" w:space="0" w:color="auto"/>
                                <w:left w:val="none" w:sz="0" w:space="0" w:color="auto"/>
                                <w:bottom w:val="none" w:sz="0" w:space="0" w:color="auto"/>
                                <w:right w:val="none" w:sz="0" w:space="0" w:color="auto"/>
                              </w:divBdr>
                              <w:divsChild>
                                <w:div w:id="1288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994218">
      <w:bodyDiv w:val="1"/>
      <w:marLeft w:val="0"/>
      <w:marRight w:val="0"/>
      <w:marTop w:val="0"/>
      <w:marBottom w:val="0"/>
      <w:divBdr>
        <w:top w:val="none" w:sz="0" w:space="0" w:color="auto"/>
        <w:left w:val="none" w:sz="0" w:space="0" w:color="auto"/>
        <w:bottom w:val="none" w:sz="0" w:space="0" w:color="auto"/>
        <w:right w:val="none" w:sz="0" w:space="0" w:color="auto"/>
      </w:divBdr>
    </w:div>
    <w:div w:id="1949502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3C0C71AD7188458345279738CDFBB8" ma:contentTypeVersion="2" ma:contentTypeDescription="Create a new document." ma:contentTypeScope="" ma:versionID="828a2fbe7ea13cfcbc696d6474f7980e">
  <xsd:schema xmlns:xsd="http://www.w3.org/2001/XMLSchema" xmlns:xs="http://www.w3.org/2001/XMLSchema" xmlns:p="http://schemas.microsoft.com/office/2006/metadata/properties" xmlns:ns2="8b60ed98-e44f-4670-ada3-38fd22684e4a" targetNamespace="http://schemas.microsoft.com/office/2006/metadata/properties" ma:root="true" ma:fieldsID="2edd823461c0277bea1d3b5ba0dcd53d" ns2:_="">
    <xsd:import namespace="8b60ed98-e44f-4670-ada3-38fd22684e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0ed98-e44f-4670-ada3-38fd22684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D4FF5-C059-492A-B916-E39BCAC7EBAD}">
  <ds:schemaRefs>
    <ds:schemaRef ds:uri="http://schemas.microsoft.com/sharepoint/v3/contenttype/forms"/>
  </ds:schemaRefs>
</ds:datastoreItem>
</file>

<file path=customXml/itemProps2.xml><?xml version="1.0" encoding="utf-8"?>
<ds:datastoreItem xmlns:ds="http://schemas.openxmlformats.org/officeDocument/2006/customXml" ds:itemID="{2D66A0DF-D40A-4A19-89DD-624DBC6ADE5B}">
  <ds:schemaRefs>
    <ds:schemaRef ds:uri="http://schemas.microsoft.com/office/2006/metadata/properties"/>
    <ds:schemaRef ds:uri="http://schemas.microsoft.com/office/infopath/2007/PartnerControls"/>
    <ds:schemaRef ds:uri="http://schemas.microsoft.com/sharepoint/v3"/>
    <ds:schemaRef ds:uri="520ceb8c-076f-49f7-81f4-486b730cefd7"/>
    <ds:schemaRef ds:uri="b06d9265-3f43-4165-9c64-75dd314c512b"/>
    <ds:schemaRef ds:uri="75304046-ffad-4f70-9f4b-bbc776f1b690"/>
  </ds:schemaRefs>
</ds:datastoreItem>
</file>

<file path=customXml/itemProps3.xml><?xml version="1.0" encoding="utf-8"?>
<ds:datastoreItem xmlns:ds="http://schemas.openxmlformats.org/officeDocument/2006/customXml" ds:itemID="{EA1F72D6-0EA8-46EA-BBF8-67EC52FC2EB8}"/>
</file>

<file path=customXml/itemProps4.xml><?xml version="1.0" encoding="utf-8"?>
<ds:datastoreItem xmlns:ds="http://schemas.openxmlformats.org/officeDocument/2006/customXml" ds:itemID="{AC937128-B34B-4888-88D5-6991C6046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10374</CharactersWithSpaces>
  <SharedDoc>false</SharedDoc>
  <HLinks>
    <vt:vector size="6" baseType="variant">
      <vt:variant>
        <vt:i4>2621482</vt:i4>
      </vt:variant>
      <vt:variant>
        <vt:i4>0</vt:i4>
      </vt:variant>
      <vt:variant>
        <vt:i4>0</vt:i4>
      </vt:variant>
      <vt:variant>
        <vt:i4>5</vt:i4>
      </vt:variant>
      <vt:variant>
        <vt:lpwstr>https://assets.publishing.service.gov.uk/government/uploads/system/uploads/attachment_data/file/398815/SEND_Code_of_Practice_January_2015.pdf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EHC Assessments and Plans - Scheme of Delegation</dc:title>
  <dc:subject>
  </dc:subject>
  <dc:creator>Ben Bryant</dc:creator>
  <cp:keywords>
  </cp:keywords>
  <dc:description>
  </dc:description>
  <cp:lastModifiedBy>Carole Filby</cp:lastModifiedBy>
  <cp:revision>2</cp:revision>
  <cp:lastPrinted>2022-09-20T09:31:00Z</cp:lastPrinted>
  <dcterms:created xsi:type="dcterms:W3CDTF">2022-09-26T15:22:00Z</dcterms:created>
  <dcterms:modified xsi:type="dcterms:W3CDTF">2023-10-30T12:23:26Z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0x010100193C0C71AD7188458345279738CDFBB8</vt:lpwstr>
  </property>
  <property fmtid="{D5CDD505-2E9C-101B-9397-08002B2CF9AE}" pid="3" name="_dlc_DocIdItemGuid">
    <vt:lpwstr>a02a09b6-3a38-4eab-88d1-c1fb2a8c8965</vt:lpwstr>
  </property>
  <property fmtid="{D5CDD505-2E9C-101B-9397-08002B2CF9AE}" pid="4" name="MSIP_Label_39d8be9e-c8d9-4b9c-bd40-2c27cc7ea2e6_Enabled">
    <vt:lpwstr>true</vt:lpwstr>
  </property>
  <property fmtid="{D5CDD505-2E9C-101B-9397-08002B2CF9AE}" pid="5" name="MSIP_Label_39d8be9e-c8d9-4b9c-bd40-2c27cc7ea2e6_SetDate">
    <vt:lpwstr>2021-07-20T18:48:31Z</vt:lpwstr>
  </property>
  <property fmtid="{D5CDD505-2E9C-101B-9397-08002B2CF9AE}" pid="6" name="MSIP_Label_39d8be9e-c8d9-4b9c-bd40-2c27cc7ea2e6_Method">
    <vt:lpwstr>Standard</vt:lpwstr>
  </property>
  <property fmtid="{D5CDD505-2E9C-101B-9397-08002B2CF9AE}" pid="7" name="MSIP_Label_39d8be9e-c8d9-4b9c-bd40-2c27cc7ea2e6_Name">
    <vt:lpwstr>39d8be9e-c8d9-4b9c-bd40-2c27cc7ea2e6</vt:lpwstr>
  </property>
  <property fmtid="{D5CDD505-2E9C-101B-9397-08002B2CF9AE}" pid="8" name="MSIP_Label_39d8be9e-c8d9-4b9c-bd40-2c27cc7ea2e6_SiteId">
    <vt:lpwstr>a8b4324f-155c-4215-a0f1-7ed8cc9a992f</vt:lpwstr>
  </property>
  <property fmtid="{D5CDD505-2E9C-101B-9397-08002B2CF9AE}" pid="9" name="MSIP_Label_39d8be9e-c8d9-4b9c-bd40-2c27cc7ea2e6_ActionId">
    <vt:lpwstr>3956e0dc-f4e9-4fe4-a4f7-0000ef501f18</vt:lpwstr>
  </property>
  <property fmtid="{D5CDD505-2E9C-101B-9397-08002B2CF9AE}" pid="10" name="MSIP_Label_39d8be9e-c8d9-4b9c-bd40-2c27cc7ea2e6_ContentBits">
    <vt:lpwstr>0</vt:lpwstr>
  </property>
  <property fmtid="{D5CDD505-2E9C-101B-9397-08002B2CF9AE}" pid="11" name="Order">
    <vt:r8>11000</vt:r8>
  </property>
  <property fmtid="{D5CDD505-2E9C-101B-9397-08002B2CF9AE}" pid="12" name="xd_Signature">
    <vt:bool>false</vt:bool>
  </property>
  <property fmtid="{D5CDD505-2E9C-101B-9397-08002B2CF9AE}" pid="13" name="SharedWithUsers">
    <vt:lpwstr/>
  </property>
  <property fmtid="{D5CDD505-2E9C-101B-9397-08002B2CF9AE}" pid="14" name="xd_ProgID">
    <vt:lpwstr/>
  </property>
  <property fmtid="{D5CDD505-2E9C-101B-9397-08002B2CF9AE}" pid="15" name="TemplateUrl">
    <vt:lpwstr/>
  </property>
  <property fmtid="{D5CDD505-2E9C-101B-9397-08002B2CF9AE}" pid="16" name="MediaServiceImageTags">
    <vt:lpwstr/>
  </property>
</Properties>
</file>